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1"/>
        <w:ind w:left="4780" w:right="280" w:firstLine="0"/>
        <w:rPr>
          <w:b/>
          <w:bCs/>
        </w:rPr>
      </w:pPr>
      <w:r>
        <w:rPr>
          <w:b/>
          <w:bCs/>
        </w:rPr>
        <w:t xml:space="preserve">Приложение №1</w:t>
      </w:r>
      <w:r>
        <w:rPr>
          <w:b/>
          <w:bCs/>
        </w:rPr>
      </w:r>
    </w:p>
    <w:p>
      <w:pPr>
        <w:pStyle w:val="971"/>
        <w:ind w:left="4780" w:right="280" w:firstLine="0"/>
        <w:rPr>
          <w:b/>
          <w:bCs/>
        </w:rPr>
      </w:pPr>
      <w:r>
        <w:rPr>
          <w:b/>
          <w:bCs/>
        </w:rPr>
        <w:t xml:space="preserve">к объявлению о проведении конкурса</w:t>
      </w:r>
      <w:r>
        <w:rPr>
          <w:b/>
          <w:bCs/>
        </w:rPr>
      </w:r>
    </w:p>
    <w:p>
      <w:pPr>
        <w:pStyle w:val="971"/>
        <w:ind w:left="4780" w:right="280" w:firstLine="0"/>
      </w:pPr>
      <w:r>
        <w:rPr>
          <w:b/>
          <w:bCs/>
        </w:rPr>
        <w:t xml:space="preserve">на включение в кадровый резерв</w:t>
      </w:r>
      <w:r/>
    </w:p>
    <w:p>
      <w:pPr>
        <w:pStyle w:val="971"/>
        <w:ind w:firstLine="0"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971"/>
        <w:ind w:firstLine="0"/>
        <w:jc w:val="center"/>
        <w:rPr>
          <w:b/>
        </w:rPr>
      </w:pPr>
      <w:r>
        <w:rPr>
          <w:b/>
        </w:rPr>
        <w:t xml:space="preserve">Квалификационные требования, </w:t>
      </w:r>
      <w:r>
        <w:rPr>
          <w:b/>
        </w:rPr>
      </w:r>
    </w:p>
    <w:p>
      <w:pPr>
        <w:pStyle w:val="971"/>
        <w:ind w:firstLine="0"/>
        <w:jc w:val="center"/>
        <w:rPr>
          <w:b/>
        </w:rPr>
      </w:pPr>
      <w:r>
        <w:rPr>
          <w:b/>
        </w:rPr>
        <w:t xml:space="preserve">предъявляемые к должностям муниципальной службы, </w:t>
      </w:r>
      <w:r>
        <w:rPr>
          <w:b/>
        </w:rPr>
      </w:r>
    </w:p>
    <w:p>
      <w:pPr>
        <w:pStyle w:val="971"/>
        <w:ind w:firstLine="0"/>
        <w:jc w:val="center"/>
        <w:rPr>
          <w:b/>
        </w:rPr>
      </w:pPr>
      <w:r>
        <w:rPr>
          <w:b/>
        </w:rPr>
        <w:t xml:space="preserve">для замещения которых формируется кадровый резерв </w:t>
      </w:r>
      <w:r>
        <w:rPr>
          <w:b/>
        </w:rPr>
      </w:r>
    </w:p>
    <w:p>
      <w:pPr>
        <w:pStyle w:val="971"/>
        <w:ind w:firstLine="0"/>
        <w:jc w:val="center"/>
      </w:pPr>
      <w:r/>
      <w:r/>
    </w:p>
    <w:p>
      <w:pPr>
        <w:pStyle w:val="971"/>
        <w:ind w:firstLine="709"/>
        <w:jc w:val="both"/>
      </w:pPr>
      <w:r>
        <w:t xml:space="preserve">В соответствии со ст. 9 Федерального закона от 02.03.2007 № 25-ФЗ «О муниципальной службе в Российской Федерации», ст. 6 Закона Воронежской области от 28.12.2007 № 175-ОЗ «О муниципальной службе в Воронежской области», решением Воронежской городской Думы о</w:t>
      </w:r>
      <w:r>
        <w:t xml:space="preserve">т 17.09.2014 № 1608-III квалификационные требования для замещения должностей муниципальной службы представляют собой требования к уровню профессионального образования (специальности, направлению подготовки), стажу муниципальной службы или работы по специал</w:t>
      </w:r>
      <w:r>
        <w:t xml:space="preserve">ьности, направлению подготовки, знаниям и умениям, которые необходимы для исполнения должностных обязанностей.</w:t>
      </w:r>
      <w:r/>
    </w:p>
    <w:p>
      <w:pPr>
        <w:pStyle w:val="972"/>
        <w:ind w:firstLine="709"/>
        <w:jc w:val="both"/>
        <w:keepLines/>
        <w:keepNext/>
        <w:tabs>
          <w:tab w:val="left" w:pos="1008" w:leader="none"/>
        </w:tabs>
      </w:pPr>
      <w:r/>
      <w:bookmarkStart w:id="0" w:name="bookmark0"/>
      <w:r>
        <w:t xml:space="preserve">Общие квалификационные требования к знаниям и умениям муниципальных служащих.</w:t>
      </w:r>
      <w:bookmarkEnd w:id="0"/>
      <w:r/>
      <w:r/>
    </w:p>
    <w:p>
      <w:pPr>
        <w:pStyle w:val="971"/>
        <w:ind w:firstLine="709"/>
        <w:jc w:val="both"/>
        <w:tabs>
          <w:tab w:val="left" w:pos="1282" w:leader="none"/>
        </w:tabs>
      </w:pPr>
      <w:r>
        <w:t xml:space="preserve">1.1. Общими квалификационными </w:t>
      </w:r>
      <w:r>
        <w:rPr>
          <w:bCs/>
          <w:iCs/>
        </w:rPr>
        <w:t xml:space="preserve">требованиями к знаниям</w:t>
      </w:r>
      <w:r>
        <w:t xml:space="preserve">, которые необх</w:t>
      </w:r>
      <w:r>
        <w:t xml:space="preserve">одимы для исполнения должностных обязанностей муниципальных служащих, замещающих должности муниципальной службы всех групп, являются знания</w:t>
      </w:r>
      <w:r>
        <w:rPr>
          <w:bCs/>
          <w:iCs/>
        </w:rPr>
        <w:t xml:space="preserve">: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spacing w:line="259" w:lineRule="auto"/>
        <w:tabs>
          <w:tab w:val="left" w:pos="1008" w:leader="none"/>
        </w:tabs>
      </w:pPr>
      <w:r>
        <w:t xml:space="preserve">Конституции Российской Федерации;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08" w:leader="none"/>
        </w:tabs>
      </w:pPr>
      <w:r>
        <w:t xml:space="preserve">законодательства Российской Федерации, Воронежской области, муниципальных правовы</w:t>
      </w:r>
      <w:r>
        <w:t xml:space="preserve">х актов городского округа город Воронеж по вопросам местного самоуправления и муниципальной службы, противодействия коррупции, организации и деятельности контрольно-счетного органа муниципального образования;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08" w:leader="none"/>
        </w:tabs>
      </w:pPr>
      <w:r>
        <w:t xml:space="preserve">основ стратегического планирования в Российской</w:t>
      </w:r>
      <w:r>
        <w:t xml:space="preserve"> Федерации, Воронежской области, городском округе город Воронеж, координации государственного и муниципального стратегического управления и бюджетной политики;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spacing w:line="259" w:lineRule="auto"/>
        <w:tabs>
          <w:tab w:val="left" w:pos="1008" w:leader="none"/>
        </w:tabs>
      </w:pPr>
      <w:r>
        <w:t xml:space="preserve">Устава городского округа город Воронеж;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08" w:leader="none"/>
        </w:tabs>
      </w:pPr>
      <w:r>
        <w:t xml:space="preserve">системы органов государственной власти РФ, Воронежской о</w:t>
      </w:r>
      <w:r>
        <w:t xml:space="preserve">бласти и местного самоуправления городского округа город Воронеж;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08" w:leader="none"/>
        </w:tabs>
      </w:pPr>
      <w:r>
        <w:t xml:space="preserve">основных положений бюджетного законодательства и основ бюджетного процесса в городском округе город Воронеж;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spacing w:line="259" w:lineRule="auto"/>
        <w:tabs>
          <w:tab w:val="left" w:pos="1008" w:leader="none"/>
        </w:tabs>
      </w:pPr>
      <w:r>
        <w:t xml:space="preserve">основ государственного и муниципального управления;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spacing w:line="259" w:lineRule="auto"/>
        <w:tabs>
          <w:tab w:val="left" w:pos="1008" w:leader="none"/>
        </w:tabs>
      </w:pPr>
      <w:r>
        <w:t xml:space="preserve">основ системы управления проектной деятельностью;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spacing w:line="259" w:lineRule="auto"/>
        <w:tabs>
          <w:tab w:val="left" w:pos="1008" w:leader="none"/>
        </w:tabs>
      </w:pPr>
      <w:r>
        <w:t xml:space="preserve">основ экономики и права;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27" w:leader="none"/>
        </w:tabs>
      </w:pPr>
      <w:r>
        <w:t xml:space="preserve">основ трудового права;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Кодекса этики и служебного поведения муниципальных служащих городского округа город Воронеж;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Положения о Контрольно-счетной палате городского округа город Вор</w:t>
      </w:r>
      <w:r>
        <w:t xml:space="preserve">онеж, Порядка осуществления Контрольно-счетной палатой городского округа город Воронеж полномочий по внешнему финансовому контролю, Регламента и иных правовых актов КСП Воронежа.</w:t>
      </w:r>
      <w:r/>
    </w:p>
    <w:p>
      <w:pPr>
        <w:pStyle w:val="971"/>
        <w:ind w:firstLine="709"/>
        <w:jc w:val="both"/>
        <w:tabs>
          <w:tab w:val="left" w:pos="1337" w:leader="none"/>
        </w:tabs>
      </w:pPr>
      <w:r>
        <w:t xml:space="preserve">1.2. Общими квалификационными </w:t>
      </w:r>
      <w:r>
        <w:rPr>
          <w:bCs/>
          <w:iCs/>
        </w:rPr>
        <w:t xml:space="preserve">требованиями к умениям</w:t>
      </w:r>
      <w:r>
        <w:t xml:space="preserve">, которые необходимы для </w:t>
      </w:r>
      <w:r>
        <w:t xml:space="preserve">исполнения должностных обязанностей муниципальных служащих, замещающих должности муниципальной службы всех групп, являются: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27" w:leader="none"/>
        </w:tabs>
      </w:pPr>
      <w:r>
        <w:t xml:space="preserve">выполнение поставленных руководством задач;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применение на практике основных положений законодательства РФ, Воронежской области, муни</w:t>
      </w:r>
      <w:r>
        <w:t xml:space="preserve">ципальных правовых актов по вопросам бюджетного процесса и финансового контроля, соответствующей сферы деятельности применительно к исполнению конкретных служебных обязанностей;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аналитическая работа, систематизация информации по направлению профессионально</w:t>
      </w:r>
      <w:r>
        <w:t xml:space="preserve">й деятельности;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логическое мышление, объективное и доказательное изложение выводов в составляемых документах;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подготовка информационно-аналитических материалов, иных документов по вопросам профессиональной деятельности;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27" w:leader="none"/>
        </w:tabs>
      </w:pPr>
      <w:r>
        <w:t xml:space="preserve">разработка инициативных предложений </w:t>
      </w:r>
      <w:r>
        <w:t xml:space="preserve">по направлению деятельности;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взаимодействие с органами государственной власти, местного самоуправления, должностными лицами, организациями и гражданами в части компетенции;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27" w:leader="none"/>
        </w:tabs>
      </w:pPr>
      <w:r>
        <w:t xml:space="preserve">подготовка ответов на обращения граждан и организаций;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7" w:leader="none"/>
        </w:tabs>
      </w:pPr>
      <w:r>
        <w:t xml:space="preserve">совершенствование профессион</w:t>
      </w:r>
      <w:r>
        <w:t xml:space="preserve">альной служебной деятельности, в том числе путем поддержания и повышения квалификации;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27" w:leader="none"/>
        </w:tabs>
      </w:pPr>
      <w:r>
        <w:t xml:space="preserve">эффективное планирование рабочего времени;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tabs>
          <w:tab w:val="left" w:pos="1013" w:leader="none"/>
        </w:tabs>
      </w:pPr>
      <w:r>
        <w:t xml:space="preserve">владение современными средствами, методами и технологией работы с информацией;</w:t>
      </w:r>
      <w:r/>
    </w:p>
    <w:p>
      <w:pPr>
        <w:pStyle w:val="971"/>
        <w:numPr>
          <w:ilvl w:val="0"/>
          <w:numId w:val="20"/>
        </w:numPr>
        <w:ind w:left="0" w:firstLine="709"/>
        <w:jc w:val="both"/>
        <w:spacing w:after="320"/>
        <w:tabs>
          <w:tab w:val="left" w:pos="1027" w:leader="none"/>
        </w:tabs>
      </w:pPr>
      <w:r>
        <w:t xml:space="preserve">владение основами делопроизводства и навыками делового общения.</w:t>
      </w:r>
      <w:r/>
    </w:p>
    <w:p>
      <w:pPr>
        <w:pStyle w:val="971"/>
        <w:ind w:firstLine="709"/>
        <w:jc w:val="both"/>
        <w:tabs>
          <w:tab w:val="left" w:pos="1142" w:leader="none"/>
        </w:tabs>
        <w:rPr>
          <w:bCs/>
          <w:i/>
        </w:rPr>
      </w:pPr>
      <w:r>
        <w:rPr>
          <w:b/>
          <w:bCs/>
        </w:rPr>
        <w:t xml:space="preserve">Квалификационные требования к уровню профессионального образования (специальности и направлению подготовки), стажу муниципальной службы или стажу работы по специальности, направлению подготовк</w:t>
      </w:r>
      <w:r>
        <w:rPr>
          <w:b/>
          <w:bCs/>
        </w:rPr>
        <w:t xml:space="preserve">и, знаниям и умениям, необходимым </w:t>
      </w:r>
      <w:r>
        <w:rPr>
          <w:b/>
          <w:bCs/>
          <w:u w:val="single"/>
        </w:rPr>
        <w:t xml:space="preserve">для замещения ведущих должностей муниципальной службы</w:t>
      </w:r>
      <w:r>
        <w:rPr>
          <w:b/>
          <w:bCs/>
        </w:rPr>
        <w:t xml:space="preserve">. </w:t>
      </w:r>
      <w:r>
        <w:rPr>
          <w:bCs/>
          <w:i/>
        </w:rPr>
      </w:r>
    </w:p>
    <w:p>
      <w:pPr>
        <w:pStyle w:val="971"/>
        <w:ind w:firstLine="709"/>
        <w:jc w:val="both"/>
        <w:tabs>
          <w:tab w:val="left" w:pos="1142" w:leader="none"/>
        </w:tabs>
      </w:pPr>
      <w:r>
        <w:rPr>
          <w:i/>
        </w:rPr>
        <w:t xml:space="preserve">Квалификационные требования к</w:t>
      </w:r>
      <w:r>
        <w:t xml:space="preserve"> </w:t>
      </w:r>
      <w:r>
        <w:rPr>
          <w:bCs/>
          <w:i/>
          <w:iCs/>
        </w:rPr>
        <w:t xml:space="preserve">уровню профессионального образования</w:t>
      </w:r>
      <w:r>
        <w:t xml:space="preserve">: высшее образование.</w:t>
      </w:r>
      <w:r/>
    </w:p>
    <w:p>
      <w:pPr>
        <w:pStyle w:val="971"/>
        <w:ind w:firstLine="709"/>
        <w:jc w:val="both"/>
        <w:tabs>
          <w:tab w:val="left" w:pos="0" w:leader="none"/>
          <w:tab w:val="left" w:pos="1448" w:leader="none"/>
        </w:tabs>
      </w:pPr>
      <w:r>
        <w:rPr>
          <w:i/>
        </w:rPr>
        <w:t xml:space="preserve">Квалификационные требования к </w:t>
      </w:r>
      <w:r>
        <w:rPr>
          <w:bCs/>
          <w:i/>
          <w:iCs/>
        </w:rPr>
        <w:t xml:space="preserve">стажу</w:t>
      </w:r>
      <w:r>
        <w:rPr>
          <w:i/>
        </w:rPr>
        <w:t xml:space="preserve"> муниципальной службы или стажу работы по специальности, направлению подготовки:</w:t>
      </w:r>
      <w:r>
        <w:t xml:space="preserve"> без предъявления требований к стажу.</w:t>
      </w:r>
      <w:r/>
    </w:p>
    <w:p>
      <w:pPr>
        <w:pStyle w:val="971"/>
        <w:ind w:firstLine="709"/>
        <w:jc w:val="both"/>
        <w:tabs>
          <w:tab w:val="left" w:pos="0" w:leader="none"/>
          <w:tab w:val="left" w:pos="1448" w:leader="none"/>
        </w:tabs>
      </w:pPr>
      <w:r>
        <w:t xml:space="preserve">Квалификационные требования к </w:t>
      </w:r>
      <w:r>
        <w:rPr>
          <w:bCs/>
          <w:i/>
          <w:iCs/>
        </w:rPr>
        <w:t xml:space="preserve">знаниям</w:t>
      </w:r>
      <w:r>
        <w:t xml:space="preserve">, которые необходимы для исполнения должностных обязанностей (дополнительно к общим квалификационным </w:t>
      </w:r>
      <w:r>
        <w:t xml:space="preserve">требованиям к знаниям муниципальных служащих):</w:t>
      </w:r>
      <w:r/>
    </w:p>
    <w:p>
      <w:pPr>
        <w:pStyle w:val="971"/>
        <w:numPr>
          <w:ilvl w:val="0"/>
          <w:numId w:val="19"/>
        </w:numPr>
        <w:ind w:left="0" w:firstLine="709"/>
        <w:jc w:val="both"/>
        <w:tabs>
          <w:tab w:val="left" w:pos="0" w:leader="none"/>
          <w:tab w:val="left" w:pos="1036" w:leader="none"/>
        </w:tabs>
      </w:pPr>
      <w:r>
        <w:t xml:space="preserve">знание законодательства по профилю деятельности;</w:t>
      </w:r>
      <w:r/>
    </w:p>
    <w:p>
      <w:pPr>
        <w:pStyle w:val="971"/>
        <w:numPr>
          <w:ilvl w:val="0"/>
          <w:numId w:val="19"/>
        </w:numPr>
        <w:ind w:left="0" w:firstLine="709"/>
        <w:jc w:val="both"/>
        <w:tabs>
          <w:tab w:val="left" w:pos="0" w:leader="none"/>
          <w:tab w:val="left" w:pos="1022" w:leader="none"/>
        </w:tabs>
      </w:pPr>
      <w:r>
        <w:t xml:space="preserve">знание документов стратегического планирования городского округа город Воронеж по профилю деятельности;</w:t>
      </w:r>
      <w:r/>
    </w:p>
    <w:p>
      <w:pPr>
        <w:pStyle w:val="971"/>
        <w:numPr>
          <w:ilvl w:val="0"/>
          <w:numId w:val="19"/>
        </w:numPr>
        <w:ind w:left="0" w:firstLine="709"/>
        <w:jc w:val="both"/>
        <w:tabs>
          <w:tab w:val="left" w:pos="0" w:leader="none"/>
          <w:tab w:val="left" w:pos="1017" w:leader="none"/>
        </w:tabs>
      </w:pPr>
      <w:r>
        <w:t xml:space="preserve">другие знания, необходимые для исполнения должностных об</w:t>
      </w:r>
      <w:r>
        <w:t xml:space="preserve">язанностей.</w:t>
      </w:r>
      <w:r/>
    </w:p>
    <w:p>
      <w:pPr>
        <w:pStyle w:val="971"/>
        <w:ind w:firstLine="709"/>
        <w:jc w:val="both"/>
        <w:tabs>
          <w:tab w:val="left" w:pos="0" w:leader="none"/>
          <w:tab w:val="left" w:pos="1448" w:leader="none"/>
        </w:tabs>
      </w:pPr>
      <w:r>
        <w:t xml:space="preserve">Квалификационные требования к </w:t>
      </w:r>
      <w:r>
        <w:rPr>
          <w:bCs/>
          <w:i/>
          <w:iCs/>
        </w:rPr>
        <w:t xml:space="preserve">умениям</w:t>
      </w:r>
      <w:r>
        <w:t xml:space="preserve">, которые необходимы для исполнения должностных обязанностей (дополнительно к общим квалификационным требованиям к умениям муниципальных служащих):</w:t>
      </w:r>
      <w:r/>
    </w:p>
    <w:p>
      <w:pPr>
        <w:pStyle w:val="971"/>
        <w:numPr>
          <w:ilvl w:val="0"/>
          <w:numId w:val="19"/>
        </w:numPr>
        <w:ind w:left="0" w:firstLine="709"/>
        <w:jc w:val="both"/>
        <w:tabs>
          <w:tab w:val="left" w:pos="0" w:leader="none"/>
          <w:tab w:val="left" w:pos="1022" w:leader="none"/>
        </w:tabs>
      </w:pPr>
      <w:r>
        <w:t xml:space="preserve">организационные и управленческие навыки при выполнении функ</w:t>
      </w:r>
      <w:r>
        <w:t xml:space="preserve">ций руководителя рабочей группы в ходе контрольных (экспертно-аналитических) мероприятий;</w:t>
      </w:r>
      <w:r/>
    </w:p>
    <w:p>
      <w:pPr>
        <w:pStyle w:val="971"/>
        <w:numPr>
          <w:ilvl w:val="0"/>
          <w:numId w:val="19"/>
        </w:numPr>
        <w:ind w:left="0" w:firstLine="709"/>
        <w:jc w:val="both"/>
        <w:tabs>
          <w:tab w:val="left" w:pos="0" w:leader="none"/>
          <w:tab w:val="left" w:pos="1027" w:leader="none"/>
        </w:tabs>
      </w:pPr>
      <w:r>
        <w:t xml:space="preserve">эффективного взаимодействия в коллективе, предотвращения и урегулирования конфликта интересов;</w:t>
      </w:r>
      <w:r/>
    </w:p>
    <w:p>
      <w:pPr>
        <w:pStyle w:val="971"/>
        <w:numPr>
          <w:ilvl w:val="0"/>
          <w:numId w:val="19"/>
        </w:numPr>
        <w:ind w:left="0" w:firstLine="709"/>
        <w:jc w:val="both"/>
        <w:spacing w:after="320"/>
        <w:tabs>
          <w:tab w:val="left" w:pos="0" w:leader="none"/>
          <w:tab w:val="left" w:pos="1017" w:leader="none"/>
        </w:tabs>
      </w:pPr>
      <w:r>
        <w:t xml:space="preserve">другие умения, необходимые для исполнения должностных обязанностей.</w:t>
      </w:r>
      <w:r/>
    </w:p>
    <w:p>
      <w:pPr>
        <w:pStyle w:val="972"/>
        <w:numPr>
          <w:ilvl w:val="1"/>
          <w:numId w:val="2"/>
        </w:numPr>
        <w:jc w:val="both"/>
        <w:keepLines/>
        <w:keepNext/>
        <w:tabs>
          <w:tab w:val="left" w:pos="1427" w:leader="none"/>
        </w:tabs>
        <w:rPr>
          <w:bCs w:val="0"/>
          <w:u w:val="single"/>
        </w:rPr>
      </w:pPr>
      <w:r/>
      <w:bookmarkStart w:id="1" w:name="bookmark2"/>
      <w:r>
        <w:rPr>
          <w:bCs w:val="0"/>
          <w:u w:val="single"/>
        </w:rPr>
        <w:t xml:space="preserve">По </w:t>
      </w:r>
      <w:bookmarkEnd w:id="1"/>
      <w:r>
        <w:rPr>
          <w:bCs w:val="0"/>
          <w:u w:val="single"/>
        </w:rPr>
        <w:t xml:space="preserve">ведущей группе должностей в аудиторском направлении по контролю расходов бюджета на социальную сферу.</w:t>
      </w:r>
      <w:r>
        <w:rPr>
          <w:bCs w:val="0"/>
          <w:u w:val="single"/>
        </w:rPr>
      </w:r>
    </w:p>
    <w:p>
      <w:pPr>
        <w:pStyle w:val="971"/>
        <w:numPr>
          <w:ilvl w:val="2"/>
          <w:numId w:val="2"/>
        </w:numPr>
        <w:ind w:firstLine="720"/>
        <w:jc w:val="both"/>
        <w:tabs>
          <w:tab w:val="left" w:pos="1470" w:leader="none"/>
        </w:tabs>
      </w:pPr>
      <w:r>
        <w:rPr>
          <w:i/>
          <w:u w:val="single"/>
        </w:rPr>
        <w:t xml:space="preserve">Квалификационные требования к уровню профессионального образования: высшее образование. Направление подготовки:</w:t>
      </w:r>
      <w:r>
        <w:t xml:space="preserve"> «Экономика и управление»</w:t>
      </w:r>
      <w:r>
        <w:t xml:space="preserve">, «Юриспруденция»</w:t>
      </w:r>
      <w:r>
        <w:t xml:space="preserve">.</w:t>
      </w:r>
      <w:r/>
    </w:p>
    <w:p>
      <w:pPr>
        <w:pStyle w:val="971"/>
        <w:numPr>
          <w:ilvl w:val="2"/>
          <w:numId w:val="2"/>
        </w:numPr>
        <w:ind w:firstLine="720"/>
        <w:jc w:val="both"/>
        <w:tabs>
          <w:tab w:val="left" w:pos="1470" w:leader="none"/>
        </w:tabs>
      </w:pPr>
      <w:r>
        <w:t xml:space="preserve">Дополнительно к общим квалификационным</w:t>
      </w:r>
      <w:r>
        <w:t xml:space="preserve"> требованиям к знаниям муниципальных служащих, требуется знание: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бюджетного законодательства, законодательства о финансовом контроле;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гражданского, трудового, финансового, налогового законодательства;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законод</w:t>
      </w:r>
      <w:r>
        <w:t xml:space="preserve">ательства о контрактной системе;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законодательства об административных правонарушениях в сфере компетенции Контрольно-счетной палаты;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нормативных правовых актов, регулирующих статус и особенности деятельности некоммерческих организаций, в том числ</w:t>
      </w:r>
      <w:r>
        <w:t xml:space="preserve">е учреждений социальной сферы;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законодательства в сфере регулирования деятельности муниципальных учреждений и предприятий, финансового обеспечения их деятельности;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организации бухгалтерского (бюджетного) учета и отчетности муниципальных учреждени</w:t>
      </w:r>
      <w:r>
        <w:t xml:space="preserve">й, методов экономического анализа их финансово-хозяйственной деятельности;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нормативных правовых актов, регламентирующих порядок и принципы ценообразования в строительстве и составления сметной документации на ремонтно-строительные работы;   </w:t>
      </w:r>
      <w:r/>
    </w:p>
    <w:p>
      <w:pPr>
        <w:pStyle w:val="971"/>
        <w:ind w:firstLine="709"/>
        <w:jc w:val="both"/>
        <w:tabs>
          <w:tab w:val="left" w:pos="1470" w:leader="none"/>
        </w:tabs>
      </w:pPr>
      <w:r>
        <w:t xml:space="preserve">– другие </w:t>
      </w:r>
      <w:r>
        <w:t xml:space="preserve">знания, необходимые для исполнения должностных обязанностей.</w:t>
      </w:r>
      <w:r/>
    </w:p>
    <w:p>
      <w:pPr>
        <w:pStyle w:val="971"/>
        <w:numPr>
          <w:ilvl w:val="2"/>
          <w:numId w:val="2"/>
        </w:numPr>
        <w:ind w:firstLine="709"/>
        <w:jc w:val="both"/>
        <w:tabs>
          <w:tab w:val="left" w:pos="1474" w:leader="none"/>
        </w:tabs>
      </w:pPr>
      <w:r>
        <w:t xml:space="preserve">Дополнительно к общим квалификационным требованиям к умениям муниципальных служащих, требуются:</w:t>
      </w:r>
      <w:r/>
    </w:p>
    <w:p>
      <w:pPr>
        <w:pStyle w:val="971"/>
        <w:ind w:firstLine="709"/>
        <w:jc w:val="both"/>
        <w:tabs>
          <w:tab w:val="left" w:pos="1474" w:leader="none"/>
        </w:tabs>
      </w:pPr>
      <w:r>
        <w:t xml:space="preserve"> –  владение навыками проведения</w:t>
      </w:r>
      <w:r>
        <w:tab/>
        <w:t xml:space="preserve">оценки эффективности использования бюджетных средств, муниципально</w:t>
      </w:r>
      <w:r>
        <w:t xml:space="preserve">го имущества, финансово-хозяйственной деятельности муниципальных учреждений;</w:t>
      </w:r>
      <w:r/>
    </w:p>
    <w:p>
      <w:pPr>
        <w:pStyle w:val="971"/>
        <w:ind w:firstLine="709"/>
        <w:jc w:val="both"/>
        <w:tabs>
          <w:tab w:val="left" w:pos="1474" w:leader="none"/>
        </w:tabs>
      </w:pPr>
      <w:r>
        <w:t xml:space="preserve">– проведение анализа реализации муниципальных программ;   </w:t>
      </w:r>
      <w:r/>
    </w:p>
    <w:p>
      <w:pPr>
        <w:pStyle w:val="971"/>
        <w:ind w:firstLine="709"/>
        <w:jc w:val="both"/>
        <w:tabs>
          <w:tab w:val="left" w:pos="1474" w:leader="none"/>
        </w:tabs>
      </w:pPr>
      <w:r>
        <w:t xml:space="preserve">– проведение анализа финансовой, экономической и статистической информации, а также документов при проведении контрольны</w:t>
      </w:r>
      <w:r>
        <w:t xml:space="preserve">х и экспертно-</w:t>
      </w:r>
      <w:r>
        <w:t xml:space="preserve">аналитических мероприятий Контрольно-счетной палаты;   </w:t>
      </w:r>
      <w:r/>
    </w:p>
    <w:p>
      <w:pPr>
        <w:pStyle w:val="971"/>
        <w:ind w:firstLine="709"/>
        <w:jc w:val="both"/>
        <w:tabs>
          <w:tab w:val="left" w:pos="1474" w:leader="none"/>
        </w:tabs>
      </w:pPr>
      <w:r>
        <w:t xml:space="preserve">– другие умения, необходимые для исполнения должностных обязанностей.</w:t>
      </w:r>
      <w:r/>
    </w:p>
    <w:p>
      <w:pPr>
        <w:pStyle w:val="972"/>
        <w:numPr>
          <w:ilvl w:val="2"/>
          <w:numId w:val="2"/>
        </w:numPr>
        <w:ind w:firstLine="709"/>
        <w:jc w:val="both"/>
        <w:keepLines/>
        <w:keepNext/>
        <w:tabs>
          <w:tab w:val="left" w:pos="1470" w:leader="none"/>
        </w:tabs>
        <w:rPr>
          <w:b w:val="0"/>
        </w:rPr>
      </w:pPr>
      <w:r/>
      <w:bookmarkStart w:id="2" w:name="bookmark4"/>
      <w:r>
        <w:rPr>
          <w:b w:val="0"/>
          <w:bCs w:val="0"/>
        </w:rPr>
        <w:t xml:space="preserve">Основные обязанности:</w:t>
      </w:r>
      <w:bookmarkEnd w:id="2"/>
      <w:r/>
      <w:r>
        <w:rPr>
          <w:b w:val="0"/>
        </w:rPr>
      </w:r>
    </w:p>
    <w:p>
      <w:pPr>
        <w:ind w:right="14" w:firstLine="709"/>
        <w:jc w:val="both"/>
        <w:spacing w:after="3" w:line="25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– проведение контрольных и экспертно-аналитических мероприятий в качестве руководителя, а также в составе рабочей группы в соответствии с распоряжением председателя;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14" w:firstLine="709"/>
        <w:jc w:val="both"/>
        <w:spacing w:after="3" w:line="25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–  исполнение обязанностей аудитора в период его отсутствия (командировка, отпуск, времен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ная нетрудоспособность и пр.) по поручению председателя;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14" w:firstLine="709"/>
        <w:jc w:val="both"/>
        <w:spacing w:after="3" w:line="25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– подготовка отчетов, представлений, информаций в рамках проведенных контрольных и экспертно-аналитических мероприятий;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14" w:firstLine="709"/>
        <w:jc w:val="both"/>
        <w:spacing w:after="3" w:line="25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–  подготовка заключений по поступившим на экспертизу проектам муниципальных правовых актов в пределах компетенции аудиторского направления;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14" w:firstLine="709"/>
        <w:jc w:val="both"/>
        <w:spacing w:after="3" w:line="25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– контроль за целевым и эффективным расходованием средств бюджета городского округа на финансирование муниципальны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учреждений образования, культуры, физической культуры и спорта, а также осуществляющих деятельность в сфере оздоровления детей, молодежной и социальной политики;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14" w:firstLine="709"/>
        <w:jc w:val="both"/>
        <w:spacing w:after="3" w:line="252" w:lineRule="auto"/>
        <w:widowControl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– контроль за целевым и эффективным расходованием средств бюджета городского округа на: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14" w:firstLine="709"/>
        <w:jc w:val="both"/>
        <w:spacing w:after="4" w:line="237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выполнения муниципальными учреждениями функций по организации и централизованному ведению бухгалтерского учета учреждений;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предоставление и расходование средств субсидий муниципальным учреждениям на финансовое обеспечение муниципального зада</w:t>
      </w:r>
      <w:r>
        <w:rPr>
          <w:rFonts w:ascii="Times New Roman" w:hAnsi="Times New Roman" w:cs="Times New Roman"/>
          <w:sz w:val="28"/>
          <w:szCs w:val="28"/>
        </w:rPr>
        <w:t xml:space="preserve">ния на оказание муниципальных услуг;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контроль за реализацией и эффективностью расходования бюджетных средств в рамках муниципальных программ «Развитие образования», «Развитие культуры», «Развитие физической культуры и спорта»;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анализ доходов от оказа</w:t>
      </w:r>
      <w:r>
        <w:rPr>
          <w:rFonts w:ascii="Times New Roman" w:hAnsi="Times New Roman" w:cs="Times New Roman"/>
          <w:sz w:val="28"/>
          <w:szCs w:val="28"/>
        </w:rPr>
        <w:t xml:space="preserve">ния платных услуг учреждениями социальной сферы;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вновь предусматриваемыми бюджетом городского округа расходами по программам «Развитие образования», «Развитие культуры», «Развитие физической культуры и спорта»;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участие в проведении аудита</w:t>
      </w:r>
      <w:r>
        <w:rPr>
          <w:rFonts w:ascii="Times New Roman" w:hAnsi="Times New Roman" w:cs="Times New Roman"/>
          <w:sz w:val="28"/>
          <w:szCs w:val="28"/>
        </w:rPr>
        <w:t xml:space="preserve"> эффективности;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контроля за соблюдением сроков и полноты исполнения мер, изложенных в представлениях и (или) предписаниях;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участие в проведении экспертизы проекта бюджета городского округа и в подготовке заключения по ее результатам в с</w:t>
      </w:r>
      <w:r>
        <w:rPr>
          <w:rFonts w:ascii="Times New Roman" w:hAnsi="Times New Roman" w:cs="Times New Roman"/>
          <w:sz w:val="28"/>
          <w:szCs w:val="28"/>
        </w:rPr>
        <w:t xml:space="preserve">фере деятельности аудиторского направления;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участие в проведении внешней проверки отчета об исполнении бюджета городского округа за год и в подготовке заключения по ее результатам в сфере деятельности аудиторского направления;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экспертиза проектов мун</w:t>
      </w:r>
      <w:r>
        <w:rPr>
          <w:rFonts w:ascii="Times New Roman" w:hAnsi="Times New Roman" w:cs="Times New Roman"/>
          <w:sz w:val="28"/>
          <w:szCs w:val="28"/>
        </w:rPr>
        <w:t xml:space="preserve">иципальных программ в сфере деятельности аудиторского направления;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составление протоколов об административных правонарушениях, </w:t>
      </w:r>
      <w:r>
        <w:rPr>
          <w:rFonts w:ascii="Times New Roman" w:hAnsi="Times New Roman" w:cs="Times New Roman"/>
          <w:sz w:val="28"/>
          <w:szCs w:val="28"/>
        </w:rPr>
        <w:t xml:space="preserve">подготовка материалов по делам об административных правонарушениях; </w:t>
      </w:r>
      <w:r>
        <w:rPr>
          <w:rFonts w:ascii="Times New Roman" w:hAnsi="Times New Roman" w:cs="Times New Roman"/>
          <w:sz w:val="28"/>
          <w:szCs w:val="28"/>
          <w:lang w:bidi="ar-SA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участие в подготовке отчета о работе Контрольно-счетной</w:t>
      </w:r>
      <w:r>
        <w:rPr>
          <w:rFonts w:ascii="Times New Roman" w:hAnsi="Times New Roman" w:cs="Times New Roman"/>
          <w:sz w:val="28"/>
          <w:szCs w:val="28"/>
        </w:rPr>
        <w:t xml:space="preserve"> палаты за год в пределах компетенции аудиторского направления;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подготовка аналитических материалов, докладов, выступлений в сфере компетенции аудиторского направления;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рассмотрение писем, заявлений, жалоб граждан, юридических лиц по вопросам, относя</w:t>
      </w:r>
      <w:r>
        <w:rPr>
          <w:rFonts w:ascii="Times New Roman" w:hAnsi="Times New Roman" w:cs="Times New Roman"/>
          <w:sz w:val="28"/>
          <w:szCs w:val="28"/>
        </w:rPr>
        <w:t xml:space="preserve">щимся к компетенции аудиторского направления и подготовка ответов;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исполнение иных обязанностей в соответствии с приказами, распоряжениями, поручениями председателя, заместителя председателя, аудитора, возглавляющего направление.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1"/>
        <w:jc w:val="both"/>
        <w:tabs>
          <w:tab w:val="left" w:pos="1045" w:leader="none"/>
        </w:tabs>
        <w:rPr>
          <w:b/>
          <w:highlight w:val="magenta"/>
        </w:rPr>
      </w:pPr>
      <w:r>
        <w:rPr>
          <w:b/>
          <w:highlight w:val="magenta"/>
        </w:rPr>
      </w:r>
      <w:r>
        <w:rPr>
          <w:b/>
          <w:highlight w:val="magenta"/>
        </w:rPr>
      </w:r>
    </w:p>
    <w:p>
      <w:pPr>
        <w:pStyle w:val="972"/>
        <w:numPr>
          <w:ilvl w:val="1"/>
          <w:numId w:val="2"/>
        </w:numPr>
        <w:jc w:val="both"/>
        <w:keepLines/>
        <w:keepNext/>
        <w:tabs>
          <w:tab w:val="left" w:pos="1418" w:leader="none"/>
        </w:tabs>
        <w:rPr>
          <w:bCs w:val="0"/>
          <w:u w:val="single"/>
        </w:rPr>
      </w:pPr>
      <w:r/>
      <w:bookmarkStart w:id="3" w:name="bookmark6"/>
      <w:r>
        <w:rPr>
          <w:bCs w:val="0"/>
          <w:u w:val="single"/>
        </w:rPr>
        <w:t xml:space="preserve">По ведущей группе должностей в аудиторском направлении по контролю администрирования неналоговых доходов, управления муниципальной собственностью и расходов бюджета по разделу «Национальная экономика»:</w:t>
      </w:r>
      <w:r>
        <w:rPr>
          <w:bCs w:val="0"/>
          <w:u w:val="single"/>
        </w:rPr>
      </w:r>
    </w:p>
    <w:p>
      <w:pPr>
        <w:pStyle w:val="977"/>
        <w:numPr>
          <w:ilvl w:val="2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Квалификационные требования к уровню профессионального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образования: высшее образование. Направление подготовки: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«Экономика и управление», «Юриспруденция».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2"/>
          <w:numId w:val="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к общим квалификационным требованиям к знаниям муниципальных служащих, по должности требуется знание: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бухгалтерского учета и отчетности предприятий (учреждений), методов экономического анализа их финансово-хозяйственной деятельности;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бюджетного законодательства, законодательства о финансовом контроле, гражданского, трудового, финансового, налогового закон</w:t>
      </w:r>
      <w:r>
        <w:rPr>
          <w:rFonts w:ascii="Times New Roman" w:hAnsi="Times New Roman" w:cs="Times New Roman"/>
          <w:sz w:val="28"/>
          <w:szCs w:val="28"/>
        </w:rPr>
        <w:t xml:space="preserve">одательства;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законодательства о контрактной системе;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законодательства об административных правонарушениях в сфере компетенции Контрольно-счетной палаты;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знание документов стратегического планирования городского округа город Воронеж по профилю деятельности;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законодательства о муниципальной собственности и в области земельных отношений;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законодательства в градостроительной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законодательства в сфере регулирования деятельности муниципальных предприятий и учреждений, финансового обеспечения их деятельнос</w:t>
      </w:r>
      <w:r>
        <w:rPr>
          <w:rFonts w:ascii="Times New Roman" w:hAnsi="Times New Roman" w:cs="Times New Roman"/>
          <w:sz w:val="28"/>
          <w:szCs w:val="28"/>
        </w:rPr>
        <w:t xml:space="preserve">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актов, регламентирующих порядок и принципы ценообразования в строительстве и составления сметной документации на ремонтно-строительные работы;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знания, необходимые для исполнения должностных обязанностей.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  <w:t xml:space="preserve">2.2.3. Дополнительно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  <w:t xml:space="preserve"> к общим квалификационным требованиям к умениям муниципальных служащих, требуются: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eastAsia="en-US"/>
        </w:rPr>
      </w:r>
    </w:p>
    <w:p>
      <w:pPr>
        <w:pStyle w:val="977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эффективное взаимодействие в коллективе, предотвращение и урегулирование конфликта интересов;</w:t>
      </w:r>
      <w:r>
        <w:rPr>
          <w:rFonts w:ascii="Times New Roman" w:hAnsi="Times New Roman"/>
          <w:sz w:val="28"/>
          <w:szCs w:val="28"/>
        </w:rPr>
      </w:r>
    </w:p>
    <w:p>
      <w:pPr>
        <w:pStyle w:val="975"/>
        <w:numPr>
          <w:ilvl w:val="0"/>
          <w:numId w:val="37"/>
        </w:numPr>
        <w:ind w:left="0" w:firstLine="709"/>
        <w:spacing w:line="24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оценки эффективности использования бюджетных средств, муниципального имущества, финансово-хозяйственной деятельности муниципальных учреждений и предприятий;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0"/>
        <w:numPr>
          <w:ilvl w:val="0"/>
          <w:numId w:val="37"/>
        </w:numPr>
        <w:ind w:left="0" w:firstLine="709"/>
        <w:jc w:val="both"/>
        <w:spacing w:after="0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анализ финансовой, экономической и статистической информации, а также иных документов пр</w:t>
      </w:r>
      <w:r>
        <w:rPr>
          <w:sz w:val="28"/>
          <w:szCs w:val="28"/>
        </w:rPr>
        <w:t xml:space="preserve">и проведении контрольных и экспертно-аналитических мероприятий Контрольно-счетной палаты.</w:t>
      </w:r>
      <w:r>
        <w:rPr>
          <w:sz w:val="28"/>
          <w:szCs w:val="28"/>
        </w:rPr>
      </w:r>
    </w:p>
    <w:p>
      <w:pPr>
        <w:pStyle w:val="977"/>
        <w:numPr>
          <w:ilvl w:val="0"/>
          <w:numId w:val="36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другие умения, необходимые для исполнения должностных обязанностей.</w:t>
      </w:r>
      <w:r>
        <w:rPr>
          <w:rFonts w:ascii="Times New Roman" w:hAnsi="Times New Roman"/>
          <w:sz w:val="28"/>
          <w:szCs w:val="28"/>
        </w:rPr>
      </w:r>
    </w:p>
    <w:p>
      <w:pPr>
        <w:pStyle w:val="977"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2.3.4.Основные обязанности: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проведении контрольных и 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в составе рабочей группы в соответствии с распоряжениями председателя;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проверок бухгалтерской отчетности муниципальных предприятий (учреждений);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контроля за целевым и эффективным расходованием бюджетных средств в рамках 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ных программ «Обеспечение доступным и комфортным жильем населения городского округа город Воронеж», «Управление муниципальным имуществом», «Развитие транспортной системы»;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оценки экономической эффективности деятельности муниципальных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полнотой поступления неналоговых доходов в бюджет городского округа и эффективностью использования муниципального имущества;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соблюдением сроков и полноты исполнения мер, изложенных в представлениях и (или) предписаниях;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аудита эффективности;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расходованием бюджетных средств, направленных на финансовое обеспечение деятельности муниципальных учреждений, действующих в подконтрольных направлению сферах;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заключений по поступившим на экспертизу </w:t>
      </w:r>
      <w:r>
        <w:rPr>
          <w:rFonts w:ascii="Times New Roman" w:hAnsi="Times New Roman" w:cs="Times New Roman"/>
          <w:sz w:val="28"/>
          <w:szCs w:val="28"/>
        </w:rPr>
        <w:t xml:space="preserve">проектам муниципальных правовых актов в пределах компетенции аудиторского направления;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подготовке заключений на проект бюджета, а также на отчет об исполнении бюджета городского округа в пределах компетенции аудиторского направления;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подготовке отчета о работе Контрольно-счетной палаты за год в пределах компетенции аудиторского направления;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в подготовке аналитических материалов, докладов, выступл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ений в сфере компетенции аудиторского направления;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ассмотрение писем, заявлений, жалоб граждан, юридических лиц по вопросам, относящимся к компетенции аудиторского направления и подготовка ответов;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 данных в электронные базы данных КСП;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взаимодействие с органами местного самоуправления, организациями,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должностными лицами и гражданами в части компетенции аудиторского направления;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7"/>
        <w:numPr>
          <w:ilvl w:val="0"/>
          <w:numId w:val="34"/>
        </w:numPr>
        <w:ind w:left="0" w:firstLine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иных полномочий в соответствии с приказами, распоряжениями, поручениями председателя, заместителя председателя, аудитора, возглавляющего направление.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2"/>
        <w:numPr>
          <w:ilvl w:val="1"/>
          <w:numId w:val="2"/>
        </w:numPr>
        <w:jc w:val="both"/>
        <w:keepLines/>
        <w:keepNext/>
        <w:tabs>
          <w:tab w:val="left" w:pos="1418" w:leader="none"/>
        </w:tabs>
        <w:rPr>
          <w:u w:val="single"/>
        </w:rPr>
      </w:pPr>
      <w:r>
        <w:rPr>
          <w:bCs w:val="0"/>
          <w:u w:val="single"/>
        </w:rPr>
        <w:t xml:space="preserve">По ведущей г</w:t>
      </w:r>
      <w:r>
        <w:rPr>
          <w:bCs w:val="0"/>
          <w:u w:val="single"/>
        </w:rPr>
        <w:t xml:space="preserve">руппе должностей </w:t>
      </w:r>
      <w:r>
        <w:rPr>
          <w:u w:val="single"/>
        </w:rPr>
        <w:t xml:space="preserve">экспертно-аналитической инспекции</w:t>
      </w:r>
      <w:r>
        <w:rPr>
          <w:bCs w:val="0"/>
          <w:u w:val="single"/>
        </w:rPr>
        <w:t xml:space="preserve">:</w:t>
      </w:r>
      <w:bookmarkEnd w:id="3"/>
      <w:r/>
      <w:r>
        <w:rPr>
          <w:u w:val="single"/>
        </w:rPr>
      </w:r>
    </w:p>
    <w:p>
      <w:pPr>
        <w:pStyle w:val="972"/>
        <w:jc w:val="both"/>
        <w:keepLines/>
        <w:keepNext/>
        <w:tabs>
          <w:tab w:val="left" w:pos="1418" w:leader="none"/>
        </w:tabs>
        <w:rPr>
          <w:bCs w:val="0"/>
        </w:rPr>
      </w:pPr>
      <w:r>
        <w:rPr>
          <w:bCs w:val="0"/>
        </w:rPr>
      </w:r>
      <w:r>
        <w:rPr>
          <w:bCs w:val="0"/>
        </w:rPr>
      </w:r>
    </w:p>
    <w:p>
      <w:pPr>
        <w:pStyle w:val="971"/>
        <w:numPr>
          <w:ilvl w:val="2"/>
          <w:numId w:val="2"/>
        </w:numPr>
        <w:ind w:firstLine="720"/>
        <w:jc w:val="both"/>
        <w:tabs>
          <w:tab w:val="left" w:pos="1627" w:leader="none"/>
        </w:tabs>
      </w:pPr>
      <w:r>
        <w:rPr>
          <w:i/>
        </w:rPr>
        <w:t xml:space="preserve">Квалификационные требования к уровню профессионального образования: высшее образование. Направление подготовки:</w:t>
      </w:r>
      <w:r>
        <w:t xml:space="preserve"> </w:t>
      </w:r>
      <w:r>
        <w:t xml:space="preserve">«Экономика и управление», «Юриспруденция».</w:t>
      </w:r>
      <w:r/>
    </w:p>
    <w:p>
      <w:pPr>
        <w:pStyle w:val="971"/>
        <w:numPr>
          <w:ilvl w:val="2"/>
          <w:numId w:val="2"/>
        </w:numPr>
        <w:ind w:firstLine="720"/>
        <w:jc w:val="both"/>
        <w:tabs>
          <w:tab w:val="left" w:pos="1622" w:leader="none"/>
        </w:tabs>
      </w:pPr>
      <w:r>
        <w:rPr>
          <w:bCs/>
          <w:iCs/>
        </w:rPr>
        <w:t xml:space="preserve">Знания</w:t>
      </w:r>
      <w:r>
        <w:t xml:space="preserve"> (дополнительно к общим квалификационным </w:t>
      </w:r>
      <w:r>
        <w:t xml:space="preserve">требованиям к знаниям муниципальных служащих, в том числе по ведущим должностям):</w:t>
      </w:r>
      <w:r/>
    </w:p>
    <w:p>
      <w:pPr>
        <w:ind w:firstLine="709"/>
        <w:tabs>
          <w:tab w:val="left" w:pos="993" w:leader="none"/>
        </w:tabs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 xml:space="preserve">–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ab/>
        <w:t xml:space="preserve">бюджетного законодательства, законодательства о финансовом контроле, гражданского, финансового, налогового законодательства;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r>
    </w:p>
    <w:p>
      <w:pPr>
        <w:numPr>
          <w:ilvl w:val="0"/>
          <w:numId w:val="43"/>
        </w:numPr>
        <w:ind w:left="0" w:firstLine="709"/>
        <w:jc w:val="both"/>
        <w:widowControl/>
        <w:tabs>
          <w:tab w:val="left" w:pos="993" w:leader="none"/>
        </w:tabs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 xml:space="preserve">законодательства об административных правонаруш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 xml:space="preserve">ениях в сфере компетенции Контрольно-счетной палаты;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r>
    </w:p>
    <w:p>
      <w:pPr>
        <w:ind w:firstLine="709"/>
        <w:jc w:val="both"/>
        <w:tabs>
          <w:tab w:val="left" w:pos="993" w:leader="none"/>
        </w:tabs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 xml:space="preserve">–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ab/>
        <w:t xml:space="preserve">организации бухгалтерского учета и отчетности организаций, методов экономического анализа их финансово-хозяйственной деятельности;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r>
    </w:p>
    <w:p>
      <w:pPr>
        <w:numPr>
          <w:ilvl w:val="0"/>
          <w:numId w:val="43"/>
        </w:numPr>
        <w:contextualSpacing/>
        <w:ind w:left="0" w:firstLine="709"/>
        <w:jc w:val="both"/>
        <w:widowControl/>
        <w:tabs>
          <w:tab w:val="left" w:pos="993" w:leader="none"/>
        </w:tabs>
        <w:rPr>
          <w:rFonts w:ascii="Times New Roman" w:hAnsi="Times New Roman" w:eastAsia="Calibri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  <w:lang w:eastAsia="en-US" w:bidi="ar-SA"/>
        </w:rPr>
        <w:t xml:space="preserve">документов стратегического планирования городского округа город Воронеж по профилю деятельности;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eastAsia="en-US" w:bidi="ar-SA"/>
        </w:rPr>
      </w:r>
    </w:p>
    <w:p>
      <w:pPr>
        <w:numPr>
          <w:ilvl w:val="0"/>
          <w:numId w:val="43"/>
        </w:numPr>
        <w:contextualSpacing/>
        <w:ind w:left="0" w:firstLine="709"/>
        <w:widowControl/>
        <w:tabs>
          <w:tab w:val="left" w:pos="993" w:leader="none"/>
        </w:tabs>
        <w:rPr>
          <w:rFonts w:ascii="Times New Roman" w:hAnsi="Times New Roman" w:eastAsia="Calibri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  <w:lang w:eastAsia="en-US" w:bidi="ar-SA"/>
        </w:rPr>
        <w:t xml:space="preserve">законодательства о контрактной системе;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eastAsia="en-US" w:bidi="ar-SA"/>
        </w:rPr>
      </w:r>
    </w:p>
    <w:p>
      <w:pPr>
        <w:numPr>
          <w:ilvl w:val="0"/>
          <w:numId w:val="42"/>
        </w:numPr>
        <w:ind w:left="0" w:firstLine="709"/>
        <w:widowControl/>
        <w:tabs>
          <w:tab w:val="left" w:pos="993" w:leader="none"/>
        </w:tabs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eastAsia="Times New Roman" w:cs="Arial"/>
          <w:color w:val="auto"/>
          <w:sz w:val="28"/>
          <w:szCs w:val="28"/>
          <w:lang w:bidi="ar-SA"/>
        </w:rPr>
        <w:t xml:space="preserve">другие знания, необходимые для исполнения должностных обязанностей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bidi="ar-SA"/>
        </w:rPr>
      </w:r>
    </w:p>
    <w:p>
      <w:pPr>
        <w:pStyle w:val="971"/>
        <w:numPr>
          <w:ilvl w:val="2"/>
          <w:numId w:val="2"/>
        </w:numPr>
        <w:ind w:firstLine="720"/>
        <w:jc w:val="both"/>
        <w:tabs>
          <w:tab w:val="left" w:pos="1627" w:leader="none"/>
        </w:tabs>
      </w:pPr>
      <w:r>
        <w:rPr>
          <w:bCs/>
          <w:iCs/>
        </w:rPr>
        <w:t xml:space="preserve">Умения</w:t>
      </w:r>
      <w:r>
        <w:t xml:space="preserve"> (дополнительно к общим квалификационным требованиям к умениям муниципальных служащих, в том числе по ведущим должностям):</w:t>
      </w:r>
      <w:r/>
    </w:p>
    <w:p>
      <w:pPr>
        <w:pStyle w:val="971"/>
        <w:numPr>
          <w:ilvl w:val="0"/>
          <w:numId w:val="12"/>
        </w:numPr>
        <w:ind w:firstLine="720"/>
        <w:jc w:val="both"/>
        <w:tabs>
          <w:tab w:val="left" w:pos="1027" w:leader="none"/>
        </w:tabs>
      </w:pPr>
      <w:r>
        <w:t xml:space="preserve">проведение анализа закупочной деятельности объекта проверки;</w:t>
      </w:r>
      <w:r/>
    </w:p>
    <w:p>
      <w:pPr>
        <w:pStyle w:val="971"/>
        <w:numPr>
          <w:ilvl w:val="0"/>
          <w:numId w:val="12"/>
        </w:numPr>
        <w:ind w:firstLine="720"/>
        <w:jc w:val="both"/>
        <w:tabs>
          <w:tab w:val="left" w:pos="1013" w:leader="none"/>
        </w:tabs>
      </w:pPr>
      <w:r>
        <w:t xml:space="preserve">оценка информации о законности, целесообразности, об обоснованности, о с</w:t>
      </w:r>
      <w:r>
        <w:t xml:space="preserve">воевременности, об эффективности и о результативности расходов на закупки;</w:t>
      </w:r>
      <w:r/>
    </w:p>
    <w:p>
      <w:pPr>
        <w:pStyle w:val="971"/>
        <w:numPr>
          <w:ilvl w:val="0"/>
          <w:numId w:val="12"/>
        </w:numPr>
        <w:ind w:firstLine="720"/>
        <w:jc w:val="both"/>
        <w:tabs>
          <w:tab w:val="left" w:pos="1008" w:leader="none"/>
        </w:tabs>
      </w:pPr>
      <w:r>
        <w:t xml:space="preserve">другие умения, необходимые для исполнения должностных обязанностей.</w:t>
      </w:r>
      <w:r/>
    </w:p>
    <w:p>
      <w:pPr>
        <w:pStyle w:val="971"/>
        <w:numPr>
          <w:ilvl w:val="2"/>
          <w:numId w:val="2"/>
        </w:numPr>
        <w:ind w:firstLine="720"/>
        <w:jc w:val="both"/>
        <w:tabs>
          <w:tab w:val="left" w:pos="1618" w:leader="none"/>
        </w:tabs>
      </w:pPr>
      <w:r>
        <w:t xml:space="preserve">Основные обязанности: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</w:t>
      </w:r>
      <w:r>
        <w:t xml:space="preserve"> координация деятельности сотрудников инспекции, оказание консультационной и методической </w:t>
      </w:r>
      <w:r>
        <w:t xml:space="preserve">помощи сотрудникам при выполнении функций, закрепленных за инспекцией;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участие в проведении контрольных и экспертно-аналитических мероприятий в составе рабочей группы и в качестве руководителя;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составление протоколов об административных правонарушениях</w:t>
      </w:r>
      <w:r>
        <w:t xml:space="preserve">, подготовка материалов по делам об административных правонарушениях;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проверка, анализ и оценка информации о законности, целесообразности, обоснованности, своевременности, а также об эффективности и результативности расходов на закупки по планируемым к заключению, заключенным и исполненным контрактам (аудит в сфере закупок);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обобщение результатов аудита в сфере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мониторинг </w:t>
      </w:r>
      <w:r>
        <w:t xml:space="preserve">реализации рекомендаций и предложений по результатам аудита в сфере закупок;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организационно-методологическое обеспечение деятельности Контрольно-счетной палаты по вопросам аудита закупок;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участие в подготовке и проведении аудита эффективности, монитори</w:t>
      </w:r>
      <w:r>
        <w:t xml:space="preserve">нг реализации рекомендаций и предложений по результатам аудита эффективности, проводимого инспекцией;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участие в подготовке заключения на проект бюджета, а также отчета об исполнении бюджета городского округа в пределах компетенции инспекции;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участие в </w:t>
      </w:r>
      <w:r>
        <w:t xml:space="preserve">подготовке плана работы Контрольно-счетной палаты на будущий год на основе планов структурных подразделений и аудиторов;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участие в подготовке отчета о работе Контрольно-счетной палаты за год на основе отчетов структурных подразделений и аудиторов;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взаи</w:t>
      </w:r>
      <w:r>
        <w:t xml:space="preserve">модействие с контрольными органами, их объединениями и союзами;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подготовка предложений по совершенствованию работы инспекции и организации работы Контрольно-счетной палаты;</w:t>
      </w:r>
      <w:r/>
    </w:p>
    <w:p>
      <w:pPr>
        <w:pStyle w:val="971"/>
        <w:ind w:firstLine="709"/>
        <w:jc w:val="both"/>
        <w:tabs>
          <w:tab w:val="left" w:pos="1391" w:leader="none"/>
        </w:tabs>
      </w:pPr>
      <w:r>
        <w:rPr>
          <w:color w:val="auto"/>
          <w:lang w:bidi="ar-SA"/>
        </w:rPr>
        <w:t xml:space="preserve">– </w:t>
      </w:r>
      <w:r>
        <w:t xml:space="preserve">рассмотрение писем, заявлений, жалоб граждан, юридических лиц по вопросам, относящимся к компетенции инспекции и подготовка ответов;</w:t>
      </w:r>
      <w:r/>
    </w:p>
    <w:p>
      <w:pPr>
        <w:pStyle w:val="971"/>
        <w:ind w:firstLine="709"/>
        <w:jc w:val="both"/>
        <w:tabs>
          <w:tab w:val="left" w:pos="1391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391" w:leader="none"/>
        </w:tabs>
        <w:rPr>
          <w:b/>
          <w:highlight w:val="none"/>
          <w:u w:val="single"/>
        </w:rPr>
      </w:pPr>
      <w:r>
        <w:rPr>
          <w:b/>
          <w:highlight w:val="none"/>
          <w:u w:val="single"/>
        </w:rPr>
        <w:t xml:space="preserve">2.4. По ведущей группе должностей правовой инспекции.</w:t>
      </w:r>
      <w:r>
        <w:rPr>
          <w:b/>
          <w:highlight w:val="none"/>
          <w:u w:val="single"/>
        </w:rPr>
      </w:r>
    </w:p>
    <w:p>
      <w:pPr>
        <w:pStyle w:val="971"/>
        <w:ind w:firstLine="709"/>
        <w:jc w:val="both"/>
        <w:tabs>
          <w:tab w:val="left" w:pos="1309" w:leader="none"/>
        </w:tabs>
        <w:rPr>
          <w:highlight w:val="none"/>
        </w:rPr>
      </w:pPr>
      <w:r>
        <w:rPr>
          <w:highlight w:val="none"/>
        </w:rPr>
        <w:t xml:space="preserve">2.4.1. </w:t>
      </w:r>
      <w:r>
        <w:rPr>
          <w:i/>
          <w:highlight w:val="none"/>
          <w:u w:val="single"/>
        </w:rPr>
        <w:t xml:space="preserve">Квалификационные требования к уровню профессионального образования: высшее образование. Направление подготовки:</w:t>
      </w:r>
      <w:r>
        <w:rPr>
          <w:highlight w:val="none"/>
        </w:rPr>
        <w:t xml:space="preserve"> «Юриспруденция».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467" w:leader="none"/>
        </w:tabs>
        <w:rPr>
          <w:highlight w:val="none"/>
        </w:rPr>
      </w:pPr>
      <w:r>
        <w:rPr>
          <w:highlight w:val="none"/>
        </w:rPr>
        <w:t xml:space="preserve">2.4.2 К общим квалификационным требованиям к зна</w:t>
      </w:r>
      <w:r>
        <w:rPr>
          <w:highlight w:val="none"/>
        </w:rPr>
        <w:t xml:space="preserve">ниям муниципальных служащих требуется знание: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87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бюджетного законодательства, законодательства о финансовом контроле, финансового, налогового законодательства;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93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гражданского, земельного законодательства, законодательства в сфере градостроительной деятельно</w:t>
      </w:r>
      <w:r>
        <w:rPr>
          <w:highlight w:val="none"/>
        </w:rPr>
        <w:t xml:space="preserve">сти;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93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трудового законодательства;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87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антимонопольного законодательства и иных нормативных правовых актов о защите конкуренции;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93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законодательства о контрактной системе;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95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нормативных правовых актов по основным направлениям деятельности городского хозяйства;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002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нормативных правовых актов, регулирующих статус и особенности деятельности коммерческих и некоммерческих организаций, в том числе учреждений социальной сферы;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99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законо</w:t>
      </w:r>
      <w:r>
        <w:rPr>
          <w:highlight w:val="none"/>
        </w:rPr>
        <w:t xml:space="preserve">дательства в сфере регулирования деятельности муниципальных учреждений и предприятий, финансового обеспечения их деятельности;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88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законодательства об административных правонарушениях в сфере компетенции Контрольно-счетной палаты;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95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документов стратегическог</w:t>
      </w:r>
      <w:r>
        <w:rPr>
          <w:highlight w:val="none"/>
        </w:rPr>
        <w:t xml:space="preserve">о планирования городского округа город Воронеж по профилю деятельности;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988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другие знания, необходимые для исполнения должностных обязанностей.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400" w:leader="none"/>
        </w:tabs>
        <w:rPr>
          <w:highlight w:val="none"/>
        </w:rPr>
      </w:pPr>
      <w:r>
        <w:rPr>
          <w:highlight w:val="none"/>
        </w:rPr>
        <w:t xml:space="preserve">2.4.3. Дополнительно к общим квалификационным требованиям к умениям муниципальных служащих требуются: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40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организаци</w:t>
      </w:r>
      <w:r>
        <w:rPr>
          <w:highlight w:val="none"/>
        </w:rPr>
        <w:t xml:space="preserve">онные и управленческие навыки;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42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навыки эффективного взаимодействия в коллективе, предотвращения и </w:t>
      </w:r>
      <w:r>
        <w:rPr>
          <w:highlight w:val="none"/>
        </w:rPr>
        <w:t xml:space="preserve">урегулирования конфликта интересов;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42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навыки проведения анализа законодательства и правоприменительной практики;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44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навыки подготовки и экспертизы проектов пр</w:t>
      </w:r>
      <w:r>
        <w:rPr>
          <w:highlight w:val="none"/>
        </w:rPr>
        <w:t xml:space="preserve">авовых актов;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35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другие умения, необходимые для исполнения должностных обязанностей.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989" w:leader="none"/>
        </w:tabs>
        <w:rPr>
          <w:highlight w:val="none"/>
        </w:rPr>
      </w:pPr>
      <w:r>
        <w:rPr>
          <w:highlight w:val="none"/>
        </w:rPr>
        <w:t xml:space="preserve">2.4.4. Основные обязанности: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4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юридическое сопровождение контрольных и экспертно</w:t>
      </w:r>
      <w:r>
        <w:rPr>
          <w:highlight w:val="none"/>
        </w:rPr>
        <w:t xml:space="preserve">-аналитических мероприятий, участие в соответствии с распоряжением председателя в указанных мероприятиях;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1050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проведение юридической экспертизы (участие в подготовке, подготовка) проектов приказов, распоряжений, актов, отчетов, заключений, решений коллегии, </w:t>
      </w:r>
      <w:r>
        <w:rPr>
          <w:highlight w:val="none"/>
        </w:rPr>
        <w:t xml:space="preserve">представлений, предписаний по результатам проводимых контрольных и экспертно-аналитических мероприятий;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юридическая экспертиза, составление протоколов об административных правонарушениях, подготовка материалов по делам об административных правонарушениях</w:t>
      </w:r>
      <w:r>
        <w:rPr>
          <w:highlight w:val="none"/>
        </w:rPr>
        <w:t xml:space="preserve">;</w:t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391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составление протоколов об административных правонарушениях, подготовка материалов по делам об административных правонарушениях;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подготовка самостоятельно, совместно с аудиторами и структурными подразделениями проектов правовых актов Контрольно-счетно</w:t>
      </w:r>
      <w:r>
        <w:rPr>
          <w:highlight w:val="none"/>
        </w:rPr>
        <w:t xml:space="preserve">й палаты, а также проектов нормативных правовых актов для внесения их в Воронежскую городскую Думу в порядке правотворческой инициативы;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подготовка заключений по поступившим на экспертизу проектам муниципальных правовых актов;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подготовка муниципальных контрактов (договоров) и соглашений, претензий поставщикам по фактам нарушения условий контрактов;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подготовка аналитических материалов по вопросам правового регулирования и правоприменительной практики в сфере компетенции Контрол</w:t>
      </w:r>
      <w:r>
        <w:rPr>
          <w:highlight w:val="none"/>
        </w:rPr>
        <w:t xml:space="preserve">ьно-счетной палаты;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информационно-справочное обеспечение, а также консультирование сотрудников по правовым вопросам, связанным с реализацией Контрольно-счетной палатой ее функций;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разъяснение отдельных положений распоряжений, приказов, осуществляемое п</w:t>
      </w:r>
      <w:r>
        <w:rPr>
          <w:highlight w:val="none"/>
        </w:rPr>
        <w:t xml:space="preserve">о поручению начальника инспекции;</w:t>
      </w:r>
      <w:r>
        <w:rPr>
          <w:highlight w:val="none"/>
        </w:rPr>
      </w:r>
    </w:p>
    <w:p>
      <w:pPr>
        <w:pStyle w:val="971"/>
        <w:ind w:firstLine="700"/>
        <w:jc w:val="both"/>
        <w:spacing w:line="233" w:lineRule="auto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методическое обеспечение деятельности Контрольно-счетной палаты в пределах компетенции;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рассмотрение писем, заявлений, жалоб граждан, юридических лиц по вопросам, относящимся к компетенции инспекции и подготовка ответо</w:t>
      </w:r>
      <w:r>
        <w:rPr>
          <w:highlight w:val="none"/>
        </w:rPr>
        <w:t xml:space="preserve">в;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внесение предложений, ходатайств по правовым вопросам на рассмотрение начальнику правовой инспекции;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участие в пределах компетенции в мероприятиях, направленных на противодействие коррупции;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представление в установленном порядке интересов Контроль</w:t>
      </w:r>
      <w:r>
        <w:rPr>
          <w:highlight w:val="none"/>
        </w:rPr>
        <w:t xml:space="preserve">но-счетной палаты в судебных, государственных органах и органах местного самоуправления по правовым вопросам по поручению председателя, заместителя председателя, начальника инспекции;</w:t>
      </w:r>
      <w:r>
        <w:rPr>
          <w:highlight w:val="none"/>
        </w:rPr>
      </w:r>
    </w:p>
    <w:p>
      <w:pPr>
        <w:pStyle w:val="971"/>
        <w:ind w:firstLine="700"/>
        <w:jc w:val="both"/>
        <w:tabs>
          <w:tab w:val="left" w:pos="986" w:leader="none"/>
        </w:tabs>
        <w:rPr>
          <w:highlight w:val="none"/>
        </w:rPr>
      </w:pPr>
      <w:r>
        <w:rPr>
          <w:highlight w:val="none"/>
        </w:rPr>
      </w:r>
      <w:bookmarkStart w:id="4" w:name="_GoBack"/>
      <w:r>
        <w:rPr>
          <w:color w:val="auto"/>
          <w:highlight w:val="none"/>
          <w:lang w:bidi="ar-SA"/>
        </w:rPr>
        <w:t xml:space="preserve">– </w:t>
      </w:r>
      <w:r>
        <w:rPr>
          <w:highlight w:val="none"/>
        </w:rPr>
        <w:t xml:space="preserve">исполнение иных обязанностей в соответствии с приказами, </w:t>
      </w:r>
      <w:bookmarkEnd w:id="4"/>
      <w:r>
        <w:rPr>
          <w:highlight w:val="none"/>
        </w:rPr>
        <w:t xml:space="preserve">распоряжениям</w:t>
      </w:r>
      <w:r>
        <w:rPr>
          <w:highlight w:val="none"/>
        </w:rPr>
        <w:t xml:space="preserve">и, поручениями председателя КСП, поручениями начальника инспекции. </w:t>
      </w:r>
      <w:r>
        <w:rPr>
          <w:highlight w:val="none"/>
        </w:rPr>
      </w:r>
    </w:p>
    <w:p>
      <w:pPr>
        <w:pStyle w:val="971"/>
        <w:ind w:left="720" w:firstLine="0"/>
        <w:jc w:val="both"/>
        <w:tabs>
          <w:tab w:val="left" w:pos="1448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71"/>
        <w:ind w:firstLine="709"/>
        <w:jc w:val="both"/>
        <w:tabs>
          <w:tab w:val="left" w:pos="1448" w:leader="none"/>
        </w:tabs>
        <w:rPr>
          <w:b/>
          <w:u w:val="single"/>
        </w:rPr>
      </w:pPr>
      <w:r>
        <w:rPr>
          <w:b/>
          <w:u w:val="single"/>
        </w:rPr>
        <w:t xml:space="preserve">2.5. По ведущей группе должностей отдела учета, делопроизводства и кадрового обеспечения:</w:t>
      </w:r>
      <w:r>
        <w:rPr>
          <w:b/>
          <w:u w:val="single"/>
        </w:rPr>
      </w:r>
    </w:p>
    <w:p>
      <w:pPr>
        <w:pStyle w:val="971"/>
        <w:ind w:firstLine="709"/>
        <w:jc w:val="both"/>
        <w:tabs>
          <w:tab w:val="left" w:pos="1415" w:leader="none"/>
        </w:tabs>
      </w:pPr>
      <w:r>
        <w:t xml:space="preserve">2.5.1. </w:t>
      </w:r>
      <w:r>
        <w:rPr>
          <w:i/>
          <w:u w:val="single"/>
        </w:rPr>
        <w:t xml:space="preserve">Квалификационные требования к уровню профессионального образования: высшее образование. Направление подготовки:</w:t>
      </w:r>
      <w:r>
        <w:t xml:space="preserve"> «Юриспруденция», «Экономика и управление», «Управление персоналом», «Менеджмент» «Бухгалтерский учет, анализ и аудит». </w:t>
      </w:r>
      <w:r/>
    </w:p>
    <w:p>
      <w:pPr>
        <w:pStyle w:val="971"/>
        <w:ind w:firstLine="709"/>
        <w:jc w:val="both"/>
        <w:tabs>
          <w:tab w:val="left" w:pos="1415" w:leader="none"/>
        </w:tabs>
      </w:pPr>
      <w:r>
        <w:t xml:space="preserve">2.5.2. Квалификационные </w:t>
      </w:r>
      <w:r>
        <w:t xml:space="preserve">требования к знаниям, которые необходимы для исполнения должностных обязанностей:</w:t>
      </w:r>
      <w:r/>
    </w:p>
    <w:p>
      <w:pPr>
        <w:pStyle w:val="971"/>
        <w:ind w:firstLine="709"/>
        <w:jc w:val="both"/>
        <w:tabs>
          <w:tab w:val="left" w:pos="1417" w:leader="none"/>
        </w:tabs>
        <w:rPr>
          <w:color w:val="auto"/>
          <w:lang w:bidi="ar-SA"/>
        </w:rPr>
      </w:pPr>
      <w:r>
        <w:rPr>
          <w:color w:val="auto"/>
          <w:lang w:bidi="ar-SA"/>
        </w:rPr>
        <w:t xml:space="preserve">– законодательства о муниципальной службе, </w:t>
      </w:r>
      <w:r>
        <w:rPr>
          <w:color w:val="auto"/>
          <w:lang w:bidi="ar-SA"/>
        </w:rPr>
      </w:r>
    </w:p>
    <w:p>
      <w:pPr>
        <w:pStyle w:val="971"/>
        <w:ind w:firstLine="709"/>
        <w:jc w:val="both"/>
        <w:tabs>
          <w:tab w:val="left" w:pos="1417" w:leader="none"/>
        </w:tabs>
        <w:rPr>
          <w:color w:val="auto"/>
          <w:lang w:bidi="ar-SA"/>
        </w:rPr>
      </w:pPr>
      <w:r>
        <w:rPr>
          <w:color w:val="auto"/>
          <w:lang w:bidi="ar-SA"/>
        </w:rPr>
        <w:t xml:space="preserve">– законодательства о труде; </w:t>
      </w:r>
      <w:r>
        <w:rPr>
          <w:color w:val="auto"/>
          <w:lang w:bidi="ar-SA"/>
        </w:rPr>
      </w:r>
    </w:p>
    <w:p>
      <w:pPr>
        <w:pStyle w:val="971"/>
        <w:ind w:firstLine="709"/>
        <w:jc w:val="both"/>
        <w:tabs>
          <w:tab w:val="left" w:pos="1417" w:leader="none"/>
        </w:tabs>
        <w:rPr>
          <w:color w:val="auto"/>
          <w:lang w:bidi="ar-SA"/>
        </w:rPr>
      </w:pPr>
      <w:r>
        <w:rPr>
          <w:color w:val="auto"/>
          <w:lang w:bidi="ar-SA"/>
        </w:rPr>
        <w:t xml:space="preserve">– бюджетного, финансового, налогового законодательства; </w:t>
      </w:r>
      <w:r>
        <w:rPr>
          <w:color w:val="auto"/>
          <w:lang w:bidi="ar-SA"/>
        </w:rPr>
      </w:r>
    </w:p>
    <w:p>
      <w:pPr>
        <w:pStyle w:val="971"/>
        <w:ind w:firstLine="709"/>
        <w:jc w:val="both"/>
        <w:tabs>
          <w:tab w:val="left" w:pos="1417" w:leader="none"/>
        </w:tabs>
        <w:rPr>
          <w:color w:val="auto"/>
          <w:lang w:bidi="ar-SA"/>
        </w:rPr>
      </w:pPr>
      <w:r>
        <w:rPr>
          <w:color w:val="auto"/>
          <w:lang w:bidi="ar-SA"/>
        </w:rPr>
        <w:t xml:space="preserve">– нормативных и методических документов о му</w:t>
      </w:r>
      <w:r>
        <w:rPr>
          <w:color w:val="auto"/>
          <w:lang w:bidi="ar-SA"/>
        </w:rPr>
        <w:t xml:space="preserve">ниципальной службе, правил по охране труда, по воинскому учету и делопроизводству; </w:t>
      </w:r>
      <w:r>
        <w:rPr>
          <w:color w:val="auto"/>
          <w:lang w:bidi="ar-SA"/>
        </w:rPr>
      </w:r>
    </w:p>
    <w:p>
      <w:pPr>
        <w:pStyle w:val="971"/>
        <w:ind w:firstLine="709"/>
        <w:jc w:val="both"/>
        <w:tabs>
          <w:tab w:val="left" w:pos="1417" w:leader="none"/>
        </w:tabs>
        <w:rPr>
          <w:color w:val="auto"/>
          <w:lang w:bidi="ar-SA"/>
        </w:rPr>
      </w:pPr>
      <w:r>
        <w:rPr>
          <w:color w:val="auto"/>
          <w:lang w:bidi="ar-SA"/>
        </w:rPr>
        <w:t xml:space="preserve">– порядка и сроков составления и представления годовой, квартальной и месячной бюджетной, статистической отчетности по направлению деятельности; </w:t>
      </w:r>
      <w:r>
        <w:rPr>
          <w:color w:val="auto"/>
          <w:lang w:bidi="ar-SA"/>
        </w:rPr>
      </w:r>
    </w:p>
    <w:p>
      <w:pPr>
        <w:pStyle w:val="971"/>
        <w:ind w:firstLine="709"/>
        <w:jc w:val="both"/>
        <w:tabs>
          <w:tab w:val="left" w:pos="1417" w:leader="none"/>
        </w:tabs>
        <w:rPr>
          <w:color w:val="auto"/>
          <w:lang w:bidi="ar-SA"/>
        </w:rPr>
      </w:pPr>
      <w:r>
        <w:rPr>
          <w:color w:val="auto"/>
          <w:lang w:bidi="ar-SA"/>
        </w:rPr>
        <w:t xml:space="preserve">– справочных и информацион</w:t>
      </w:r>
      <w:r>
        <w:rPr>
          <w:color w:val="auto"/>
          <w:lang w:bidi="ar-SA"/>
        </w:rPr>
        <w:t xml:space="preserve">ных систем в сфере кадрового учета и делопроизводства; </w:t>
      </w:r>
      <w:r>
        <w:rPr>
          <w:color w:val="auto"/>
          <w:lang w:bidi="ar-SA"/>
        </w:rPr>
      </w:r>
    </w:p>
    <w:p>
      <w:pPr>
        <w:pStyle w:val="971"/>
        <w:ind w:firstLine="709"/>
        <w:jc w:val="both"/>
        <w:tabs>
          <w:tab w:val="left" w:pos="1417" w:leader="none"/>
        </w:tabs>
      </w:pPr>
      <w:r>
        <w:rPr>
          <w:color w:val="auto"/>
          <w:lang w:bidi="ar-SA"/>
        </w:rPr>
        <w:t xml:space="preserve">– правил хранения бухгалтерских документов и защиты информации, и другие знания, необходимые для исполнения должностных обязанностей.</w:t>
      </w:r>
      <w:r/>
    </w:p>
    <w:p>
      <w:pPr>
        <w:pStyle w:val="971"/>
        <w:ind w:firstLine="709"/>
        <w:jc w:val="both"/>
        <w:tabs>
          <w:tab w:val="left" w:pos="1500" w:leader="none"/>
        </w:tabs>
      </w:pPr>
      <w:r>
        <w:t xml:space="preserve">2.5.3. Дополнительно к общим квалификационным требованиям к умения</w:t>
      </w:r>
      <w:r>
        <w:t xml:space="preserve">м  требуются:</w:t>
      </w:r>
      <w:r/>
    </w:p>
    <w:p>
      <w:pPr>
        <w:pStyle w:val="971"/>
        <w:numPr>
          <w:ilvl w:val="0"/>
          <w:numId w:val="33"/>
        </w:numPr>
        <w:ind w:left="0" w:firstLine="709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кадрового учета и отчетности,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33"/>
        </w:numPr>
        <w:ind w:left="0" w:firstLine="709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составление квартальных и годовых статистических отчетов,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33"/>
        </w:numPr>
        <w:ind w:left="0" w:firstLine="709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проведение мероприятий по охране труда и воинскому учету,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33"/>
        </w:numPr>
        <w:ind w:left="0" w:firstLine="709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составление первичных учетных документов,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33"/>
        </w:numPr>
        <w:ind w:left="0" w:firstLine="709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организация архивного учета и делопроизводства,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33"/>
        </w:numPr>
        <w:ind w:left="0" w:firstLine="709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другие умения, необходимые для исполнения должностных обязанностей.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ind w:left="720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2.5.4.</w:t>
      </w:r>
      <w:r>
        <w:rPr>
          <w:rFonts w:eastAsia="Calibri" w:cs="Courier New"/>
          <w:color w:val="auto"/>
          <w:lang w:eastAsia="en-US"/>
        </w:rPr>
        <w:tab/>
        <w:t xml:space="preserve">Основные обязанности: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ind w:left="720"/>
        <w:jc w:val="both"/>
        <w:tabs>
          <w:tab w:val="left" w:pos="1448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организация и ведение кадровой работы: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оформление приема, перевода и увольнения сотрудников в соответствии с действующим трудовым законодательством и выходом на пенсию за выслугу лет;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подготовка проектов служебных контрактов, трудовых договоров, дополнительных соглашений к ним;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жу</w:t>
      </w:r>
      <w:r>
        <w:rPr>
          <w:rFonts w:eastAsia="Calibri" w:cs="Courier New"/>
          <w:color w:val="auto"/>
          <w:lang w:eastAsia="en-US"/>
        </w:rPr>
        <w:t xml:space="preserve">рналов учета служебных контрактов и трудовых договоров;   ведение книги регистрации приказов по личному составу;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прием, выдача и систематизация документов в архиве КСП в соответствии с номенклатурой дел, обеспечение сохранности архива;   обеспечение хра</w:t>
      </w:r>
      <w:r>
        <w:rPr>
          <w:rFonts w:eastAsia="Calibri" w:cs="Courier New"/>
          <w:color w:val="auto"/>
          <w:lang w:eastAsia="en-US"/>
        </w:rPr>
        <w:t xml:space="preserve">нения подлинников приказов палаты;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обеспечение рассылки копий приказов, ознакомления с приказами </w:t>
      </w:r>
      <w:r>
        <w:rPr>
          <w:rFonts w:eastAsia="Calibri" w:cs="Courier New"/>
          <w:color w:val="auto"/>
          <w:lang w:eastAsia="en-US"/>
        </w:rPr>
        <w:t xml:space="preserve">сотрудников палаты под роспись;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журнала учета движения трудовых книжек и вкладышей к ним;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хранение и внесение необходимых записей в трудовые книж</w:t>
      </w:r>
      <w:r>
        <w:rPr>
          <w:rFonts w:eastAsia="Calibri" w:cs="Courier New"/>
          <w:color w:val="auto"/>
          <w:lang w:eastAsia="en-US"/>
        </w:rPr>
        <w:t xml:space="preserve">ки;   обеспечение достоверного учета страхового и муниципального стажа;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обеспечение деятельности комиссии по установлению стажа муниципальной службы палаты;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обеспечение подготовки документов для назначения пенсии за выслугу лет и их передачу в комиссию </w:t>
      </w:r>
      <w:r>
        <w:rPr>
          <w:rFonts w:eastAsia="Calibri" w:cs="Courier New"/>
          <w:color w:val="auto"/>
          <w:lang w:eastAsia="en-US"/>
        </w:rPr>
        <w:t xml:space="preserve">по рассмотрению документов для назначения пенсии за выслугу лет и доплаты к трудовой пенсии по старости;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подготовка справки подтверждения места работы и стажа служащих палаты;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журнала учета личных дел;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личных дел сотрудников;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приобщ</w:t>
      </w:r>
      <w:r>
        <w:rPr>
          <w:rFonts w:eastAsia="Calibri" w:cs="Courier New"/>
          <w:color w:val="auto"/>
          <w:lang w:eastAsia="en-US"/>
        </w:rPr>
        <w:t xml:space="preserve">ает к личным делам служащих документы, установленные законодательством;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обеспечение сохранности личных дел служащих палаты;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обеспечение конфиденциальности сведений, содержащихся в личных делах, в соответствии с законодательством;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ознакомление муниципа</w:t>
      </w:r>
      <w:r>
        <w:rPr>
          <w:rFonts w:eastAsia="Calibri" w:cs="Courier New"/>
          <w:color w:val="auto"/>
          <w:lang w:eastAsia="en-US"/>
        </w:rPr>
        <w:t xml:space="preserve">льных служащих с документами своего личного дела не реже одного раза в год;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личных карточек служащих палаты и работников палаты по форме Т-2;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реестра муниципальных служащих палаты;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статистической отчетности по учету кадров;   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</w:t>
      </w:r>
      <w:r>
        <w:rPr>
          <w:rFonts w:eastAsia="Calibri" w:cs="Courier New"/>
          <w:color w:val="auto"/>
          <w:lang w:eastAsia="en-US"/>
        </w:rPr>
        <w:t xml:space="preserve">дение журнала учета выданных служебных удостоверений;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ведение трудовых книжек служащих палаты;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подготовка графиков очередных отпусков и контроль за порядком их предоставления;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контроль за соблюдением правил внутреннего трудового распорядка, ведение табеля </w:t>
      </w:r>
      <w:r>
        <w:rPr>
          <w:rFonts w:eastAsia="Calibri" w:cs="Courier New"/>
          <w:color w:val="auto"/>
          <w:lang w:eastAsia="en-US"/>
        </w:rPr>
        <w:t xml:space="preserve">учета рабочего времени;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оформление листов нетрудоспособности;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составление установленных форм отчетности по кадровым вопросам;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подготовка</w:t>
      </w:r>
      <w:r>
        <w:rPr>
          <w:rFonts w:eastAsia="Calibri" w:cs="Courier New"/>
          <w:color w:val="auto"/>
          <w:lang w:eastAsia="en-US"/>
        </w:rPr>
        <w:tab/>
        <w:t xml:space="preserve">предложений</w:t>
      </w:r>
      <w:r>
        <w:rPr>
          <w:rFonts w:eastAsia="Calibri" w:cs="Courier New"/>
          <w:color w:val="auto"/>
          <w:lang w:eastAsia="en-US"/>
        </w:rPr>
        <w:tab/>
        <w:t xml:space="preserve">по</w:t>
      </w:r>
      <w:r>
        <w:rPr>
          <w:rFonts w:eastAsia="Calibri" w:cs="Courier New"/>
          <w:color w:val="auto"/>
          <w:lang w:eastAsia="en-US"/>
        </w:rPr>
        <w:tab/>
        <w:t xml:space="preserve">повышению</w:t>
      </w:r>
      <w:r>
        <w:rPr>
          <w:rFonts w:eastAsia="Calibri" w:cs="Courier New"/>
          <w:color w:val="auto"/>
          <w:lang w:eastAsia="en-US"/>
        </w:rPr>
        <w:tab/>
        <w:t xml:space="preserve">квалификации, переподготовке кадров, планов обучения и организация внутренней учебы сотруднико</w:t>
      </w:r>
      <w:r>
        <w:rPr>
          <w:rFonts w:eastAsia="Calibri" w:cs="Courier New"/>
          <w:color w:val="auto"/>
          <w:lang w:eastAsia="en-US"/>
        </w:rPr>
        <w:t xml:space="preserve">в Контрольно-счетной палаты;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обеспечение проведения служебных проверок;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numPr>
          <w:ilvl w:val="0"/>
          <w:numId w:val="40"/>
        </w:numPr>
        <w:ind w:left="0" w:firstLine="709"/>
        <w:jc w:val="both"/>
        <w:tabs>
          <w:tab w:val="left" w:pos="1069" w:leader="none"/>
        </w:tabs>
        <w:rPr>
          <w:rFonts w:eastAsia="Calibri" w:cs="Courier New"/>
          <w:color w:val="auto"/>
          <w:lang w:eastAsia="en-US"/>
        </w:rPr>
      </w:pPr>
      <w:r>
        <w:rPr>
          <w:rFonts w:eastAsia="Calibri" w:cs="Courier New"/>
          <w:color w:val="auto"/>
          <w:lang w:eastAsia="en-US"/>
        </w:rPr>
        <w:t xml:space="preserve">исполнение иных обязанностей в соответствии с приказами, распоряжениями, поручениями председателя, заместителя председателя КСП и начальника отдела.</w:t>
      </w:r>
      <w:r>
        <w:rPr>
          <w:rFonts w:eastAsia="Calibri" w:cs="Courier New"/>
          <w:color w:val="auto"/>
          <w:lang w:eastAsia="en-US"/>
        </w:rPr>
      </w:r>
    </w:p>
    <w:p>
      <w:pPr>
        <w:pStyle w:val="971"/>
        <w:ind w:firstLine="0"/>
        <w:jc w:val="both"/>
        <w:tabs>
          <w:tab w:val="left" w:pos="1448" w:leader="none"/>
        </w:tabs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972"/>
        <w:ind w:firstLine="709"/>
        <w:jc w:val="both"/>
        <w:keepLines/>
        <w:keepNext/>
        <w:spacing w:line="276" w:lineRule="auto"/>
        <w:tabs>
          <w:tab w:val="left" w:pos="1410" w:leader="none"/>
        </w:tabs>
        <w:rPr>
          <w:bCs w:val="0"/>
          <w:u w:val="single"/>
        </w:rPr>
      </w:pPr>
      <w:r>
        <w:rPr>
          <w:bCs w:val="0"/>
          <w:u w:val="single"/>
        </w:rPr>
        <w:t xml:space="preserve">2.6. По ведущей группе должностей </w:t>
      </w:r>
      <w:r>
        <w:rPr>
          <w:u w:val="single"/>
        </w:rPr>
        <w:t xml:space="preserve">отдела координации, информационного обеспечения и внутреннего контроля</w:t>
      </w:r>
      <w:r>
        <w:rPr>
          <w:bCs w:val="0"/>
          <w:u w:val="single"/>
        </w:rPr>
        <w:t xml:space="preserve">:</w:t>
      </w:r>
      <w:r>
        <w:rPr>
          <w:bCs w:val="0"/>
          <w:u w:val="single"/>
        </w:rPr>
      </w:r>
    </w:p>
    <w:p>
      <w:pPr>
        <w:pStyle w:val="971"/>
        <w:ind w:firstLine="709"/>
        <w:jc w:val="both"/>
        <w:spacing w:line="276" w:lineRule="auto"/>
        <w:tabs>
          <w:tab w:val="left" w:pos="1766" w:leader="none"/>
        </w:tabs>
      </w:pPr>
      <w:r>
        <w:t xml:space="preserve">2.6.1. </w:t>
      </w:r>
      <w:r>
        <w:rPr>
          <w:i/>
          <w:u w:val="single"/>
        </w:rPr>
        <w:t xml:space="preserve">Квалификационные требования к уровню профессионального образования: высшее образование. Направление подготовки:</w:t>
      </w:r>
      <w:r>
        <w:t xml:space="preserve"> укрупненные группы «Математические и естественные науки», «Эконом</w:t>
      </w:r>
      <w:r>
        <w:t xml:space="preserve">ика и управление», </w:t>
      </w:r>
      <w:r>
        <w:t xml:space="preserve">«Инженерное дело, технологии и технические науки».</w:t>
      </w:r>
      <w:r/>
    </w:p>
    <w:p>
      <w:pPr>
        <w:pStyle w:val="971"/>
        <w:ind w:firstLine="709"/>
        <w:jc w:val="both"/>
        <w:tabs>
          <w:tab w:val="left" w:pos="1766" w:leader="none"/>
        </w:tabs>
      </w:pPr>
      <w:r>
        <w:rPr>
          <w:bCs/>
          <w:iCs/>
        </w:rPr>
        <w:t xml:space="preserve">2.6.2. Знания</w:t>
      </w:r>
      <w:r>
        <w:t xml:space="preserve"> (дополнительно к общим квалификационным требованиям к знаниям муниципальных служащих, в том числе по ведущим должностям):</w:t>
      </w:r>
      <w:r/>
    </w:p>
    <w:p>
      <w:pPr>
        <w:pStyle w:val="971"/>
        <w:ind w:firstLine="720"/>
        <w:jc w:val="both"/>
      </w:pPr>
      <w:r>
        <w:rPr>
          <w:rFonts w:ascii="Arial" w:hAnsi="Arial" w:eastAsia="Arial" w:cs="Arial"/>
          <w:sz w:val="26"/>
          <w:szCs w:val="26"/>
        </w:rPr>
        <w:t xml:space="preserve">- </w:t>
      </w:r>
      <w:r>
        <w:t xml:space="preserve">основ применения современных информационно-коммуникационных технологий в органах местного самоуправления;</w:t>
      </w:r>
      <w:r/>
    </w:p>
    <w:p>
      <w:pPr>
        <w:pStyle w:val="971"/>
        <w:ind w:firstLine="0"/>
        <w:jc w:val="both"/>
      </w:pPr>
      <w:r>
        <w:t xml:space="preserve">другие знания, необходимые для исполнения должностных обязанностей.</w:t>
      </w:r>
      <w:r/>
    </w:p>
    <w:p>
      <w:pPr>
        <w:pStyle w:val="971"/>
        <w:ind w:firstLine="720"/>
        <w:jc w:val="both"/>
        <w:tabs>
          <w:tab w:val="left" w:pos="1729" w:leader="none"/>
        </w:tabs>
      </w:pPr>
      <w:r>
        <w:rPr>
          <w:bCs/>
          <w:iCs/>
        </w:rPr>
        <w:t xml:space="preserve">2.6.3. Умения</w:t>
      </w:r>
      <w:r>
        <w:t xml:space="preserve"> (дополнительно к общим квалификационным требованиям к умениям муници</w:t>
      </w:r>
      <w:r>
        <w:t xml:space="preserve">пальных служащих, в том числе по ведущим должностям):</w:t>
      </w:r>
      <w:r/>
    </w:p>
    <w:p>
      <w:pPr>
        <w:pStyle w:val="971"/>
        <w:numPr>
          <w:ilvl w:val="0"/>
          <w:numId w:val="14"/>
        </w:numPr>
        <w:ind w:firstLine="720"/>
        <w:jc w:val="both"/>
        <w:tabs>
          <w:tab w:val="left" w:pos="1050" w:leader="none"/>
        </w:tabs>
      </w:pPr>
      <w:r>
        <w:t xml:space="preserve">навыки эффективного взаимодействия в коллективе, предотвращения и урегулирования конфликта интересов;</w:t>
      </w:r>
      <w:r/>
    </w:p>
    <w:p>
      <w:pPr>
        <w:pStyle w:val="971"/>
        <w:numPr>
          <w:ilvl w:val="0"/>
          <w:numId w:val="14"/>
        </w:numPr>
        <w:ind w:firstLine="720"/>
        <w:jc w:val="both"/>
        <w:spacing w:line="259" w:lineRule="auto"/>
        <w:tabs>
          <w:tab w:val="left" w:pos="1134" w:leader="none"/>
        </w:tabs>
      </w:pPr>
      <w:r>
        <w:t xml:space="preserve">оперативное принятие решений и их эффективная реализация;</w:t>
      </w:r>
      <w:r/>
    </w:p>
    <w:p>
      <w:pPr>
        <w:pStyle w:val="971"/>
        <w:numPr>
          <w:ilvl w:val="0"/>
          <w:numId w:val="14"/>
        </w:numPr>
        <w:ind w:firstLine="720"/>
        <w:jc w:val="both"/>
        <w:spacing w:line="252" w:lineRule="auto"/>
        <w:tabs>
          <w:tab w:val="left" w:pos="1040" w:leader="none"/>
        </w:tabs>
      </w:pPr>
      <w:r>
        <w:t xml:space="preserve">другие умения, необходимые для исполнения должностных обязанностей.</w:t>
      </w:r>
      <w:r/>
    </w:p>
    <w:p>
      <w:pPr>
        <w:pStyle w:val="972"/>
        <w:jc w:val="both"/>
        <w:keepLines/>
        <w:keepNext/>
        <w:tabs>
          <w:tab w:val="left" w:pos="1729" w:leader="none"/>
        </w:tabs>
        <w:rPr>
          <w:b w:val="0"/>
          <w:bCs w:val="0"/>
        </w:rPr>
      </w:pPr>
      <w:r>
        <w:rPr>
          <w:b w:val="0"/>
          <w:bCs w:val="0"/>
        </w:rPr>
        <w:t xml:space="preserve">2.6.4. Основные обязанности:</w:t>
      </w:r>
      <w:r>
        <w:rPr>
          <w:b w:val="0"/>
          <w:bCs w:val="0"/>
        </w:rPr>
      </w:r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изучение рынка прикладных программ, применение которых повышает эффективность деятельности Контрольно-счетной палаты;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взаимодействие с разработчиками использу</w:t>
      </w:r>
      <w:r>
        <w:t xml:space="preserve">емых в работе прикладных программ по вопросам их совершенствования и более полного соответствия задачам, стоящим перед КСП;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взаимодействие с внешними организациями по вопросам предоставления структурированной информации, необходимой для работы КСП, соглас</w:t>
      </w:r>
      <w:r>
        <w:t xml:space="preserve">ование форматов предоставляемых данных и обеспечение информационного наполнения используемых в работе прикладных программ;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организация деятельности сотрудников отдела по вопросам: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ведение базы данных по результатам контрольных и экспертно-аналитических м</w:t>
      </w:r>
      <w:r>
        <w:t xml:space="preserve">ероприятий и финансовой информации по планированию и исполнению бюдже</w:t>
      </w:r>
      <w:r>
        <w:t xml:space="preserve">та в электронной базе данных КСП;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работа с данными, размещенными в единой информационной системе в сфере закупок, с использованием специализированных поисковых систем;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подготовка операт</w:t>
      </w:r>
      <w:r>
        <w:t xml:space="preserve">ивной информации на основании сведений, имеющихся в используемых прикладных программах;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осуществление контроля за соблюдением сроков проведения контрольных и экспертно-аналитических мероприятий, своевременностью направления представлений, предписаний и ин</w:t>
      </w:r>
      <w:r>
        <w:t xml:space="preserve">формации по результатам контрольных мероприятий и за своевременностью принятия мер по выявленным нарушениям и недостаткам;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осуществление контроля за соблюдением сроков исполнения документов, ответов на представления, предписания и запросы КСП;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обеспечени</w:t>
      </w:r>
      <w:r>
        <w:t xml:space="preserve">е документооборота в порядке, установленном Положением о делопроизводстве;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обеспечения сотрудников Контрольно-счетной палаты необходимой компьютерной техникой, периферийными устройствами;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удаленного доступа сотрудников к информационным ресурсам КСП и воз</w:t>
      </w:r>
      <w:r>
        <w:t xml:space="preserve">можностям информационного обмена;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разработка предложений, направленных на совершенствование форм сводной статистической отчетности о результатах контрольной и экспертно-</w:t>
      </w:r>
      <w:r>
        <w:t xml:space="preserve">аналитической деятельности, финансовой и иной информации (по данным КПС ПКОД) для посл</w:t>
      </w:r>
      <w:r>
        <w:t xml:space="preserve">едующего использования в работе КСП;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организация сопровождения внедренных программ и обучения сотрудников КСП приемам и методам работы с ними;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организация работы </w:t>
      </w:r>
      <w:r>
        <w:t xml:space="preserve">сайта Контрольно-счетной палаты; разработка необходимых в работе программных средст</w:t>
      </w:r>
      <w:r>
        <w:t xml:space="preserve">в, их адаптация и </w:t>
      </w:r>
      <w:r>
        <w:t xml:space="preserve">внедрение;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техническое сопровождение работы сотрудников КСП с внешними информационными ресурсами (данные </w:t>
      </w:r>
      <w:r>
        <w:t xml:space="preserve">Росреестра, Росстата, единой информационной системы в сфере закупок и др.) с использованием специализированных поисковых программ;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формирование банка данных фото- и видеоматериалов для обеспечения работы </w:t>
      </w:r>
      <w:r>
        <w:t xml:space="preserve">сайта;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при необходимости (отсутствие системного администратора, большой объем работы, срочность и др.) выполнение следующих видов работ: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обеспечение работы компьютерной тех</w:t>
      </w:r>
      <w:r>
        <w:t xml:space="preserve">ники, локальной проводной сети и сети Р1, периферийных устройств;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установка программного обеспечения на серверы и рабочие станции;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поддержка рабочего состояния программного обеспечения сервера и рабочих станций;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выявление ошибок пользователей и сетевого программного обеспечения, восстановление работоспособности системы;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участие в восстановлении работоспособности системы при сбоях и выходе из строя сетевого оборудования;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организация доступа к локальной и глобальн</w:t>
      </w:r>
      <w:r>
        <w:t xml:space="preserve">ой сетям;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организация удаленного доступа к локальной сети КСП по защищенным каналам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связи; разработка предложений, направленных на расширение перечня информации,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используемой при планировании деятельности Контрольно-счетной палаты, анализ объектов прове</w:t>
      </w:r>
      <w:r>
        <w:t xml:space="preserve">рки на этапе подготовки к контрольному мероприятию, реализация этих предложений в виде конкретных алгоритмов и программ;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участие в формировании плана работы отдела и отчета о его исполнении;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участие в подготовке отчета о работе КСП за год по вопросам ком</w:t>
      </w:r>
      <w:r>
        <w:t xml:space="preserve">петенции отдела; </w:t>
      </w:r>
      <w:r/>
    </w:p>
    <w:p>
      <w:pPr>
        <w:pStyle w:val="971"/>
        <w:numPr>
          <w:ilvl w:val="0"/>
          <w:numId w:val="41"/>
        </w:numPr>
        <w:ind w:left="0" w:firstLine="709"/>
        <w:jc w:val="both"/>
        <w:tabs>
          <w:tab w:val="left" w:pos="760" w:leader="none"/>
          <w:tab w:val="left" w:pos="993" w:leader="none"/>
        </w:tabs>
      </w:pPr>
      <w:r>
        <w:t xml:space="preserve">исполнение иных обязанностей в соответствии с приказами, распоряжениями, поручениями председателя КСП и начальника отдела. </w:t>
      </w:r>
      <w:r/>
    </w:p>
    <w:p>
      <w:pPr>
        <w:pStyle w:val="971"/>
        <w:ind w:left="720" w:firstLine="0"/>
        <w:jc w:val="both"/>
        <w:tabs>
          <w:tab w:val="left" w:pos="994" w:leader="none"/>
        </w:tabs>
      </w:pPr>
      <w:r/>
      <w:r/>
    </w:p>
    <w:sectPr>
      <w:footerReference w:type="default" r:id="rId9"/>
      <w:footerReference w:type="first" r:id="rId10"/>
      <w:footnotePr/>
      <w:endnotePr/>
      <w:type w:val="continuous"/>
      <w:pgSz w:w="11900" w:h="16840" w:orient="portrait"/>
      <w:pgMar w:top="851" w:right="560" w:bottom="1159" w:left="1386" w:header="0" w:footer="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ourier New">
    <w:panose1 w:val="020703090202050204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line="1" w:lineRule="exact"/>
    </w:pPr>
    <w:r>
      <w:rPr>
        <w:lang w:bidi="ar-SA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752" behindDoc="1" locked="0" layoutInCell="1" allowOverlap="1">
              <wp:simplePos x="0" y="0"/>
              <wp:positionH relativeFrom="page">
                <wp:posOffset>6887210</wp:posOffset>
              </wp:positionH>
              <wp:positionV relativeFrom="page">
                <wp:posOffset>9910445</wp:posOffset>
              </wp:positionV>
              <wp:extent cx="128270" cy="88265"/>
              <wp:effectExtent l="0" t="0" r="0" b="0"/>
              <wp:wrapNone/>
              <wp:docPr id="1" name="_x0000_s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28270" cy="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73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hAnsi="Calibri" w:eastAsia="Calibri" w:cs="Calibri"/>
                              <w:sz w:val="22"/>
                              <w:szCs w:val="22"/>
                            </w:rPr>
                            <w:t xml:space="preserve">9</w:t>
                          </w:r>
                          <w:r>
                            <w:rPr>
                              <w:rFonts w:ascii="Calibri" w:hAnsi="Calibri" w:eastAsia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</w:r>
                        </w:p>
                      </w:txbxContent>
                    </wps:txbx>
                    <wps:bodyPr wrap="none" lIns="36000" tIns="36000" rIns="36000" bIns="3600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251658752;o:allowoverlap:true;o:allowincell:true;mso-position-horizontal-relative:page;margin-left:542.30pt;mso-position-horizontal:absolute;mso-position-vertical-relative:page;margin-top:780.35pt;mso-position-vertical:absolute;width:10.10pt;height:6.95pt;mso-wrap-distance-left:0.00pt;mso-wrap-distance-top:0.00pt;mso-wrap-distance-right:0.00pt;mso-wrap-distance-bottom:0.00pt;visibility:visible;" filled="f" stroked="f">
              <v:textbox inset="0,0,0,0">
                <w:txbxContent>
                  <w:p>
                    <w:pPr>
                      <w:pStyle w:val="973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Calibri" w:hAnsi="Calibri" w:eastAsia="Calibri" w:cs="Calibri"/>
                        <w:sz w:val="22"/>
                        <w:szCs w:val="22"/>
                      </w:rPr>
                      <w:t xml:space="preserve">9</w:t>
                    </w:r>
                    <w:r>
                      <w:rPr>
                        <w:rFonts w:ascii="Calibri" w:hAnsi="Calibri" w:eastAsia="Calibri" w:cs="Calibri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line="1" w:lineRule="exac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/>
      <w:r/>
    </w:p>
  </w:footnote>
  <w:footnote w:type="continuationSeparator" w:id="0">
    <w:p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upperRoman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isLgl w:val="false"/>
      <w:suff w:val="tab"/>
      <w:lvlText w:val="%1.%2.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210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82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54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426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98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70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42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7146" w:firstLine="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12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8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3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1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429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637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23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7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hint="default"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4">
    <w:multiLevelType w:val="hybridMultilevel"/>
    <w:lvl w:ilvl="0">
      <w:start w:val="1"/>
      <w:numFmt w:val="russianLower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6">
    <w:multiLevelType w:val="hybridMultilevel"/>
    <w:lvl w:ilvl="0">
      <w:start w:val="2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2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10"/>
  </w:num>
  <w:num w:numId="2">
    <w:abstractNumId w:val="36"/>
  </w:num>
  <w:num w:numId="3">
    <w:abstractNumId w:val="4"/>
  </w:num>
  <w:num w:numId="4">
    <w:abstractNumId w:val="23"/>
  </w:num>
  <w:num w:numId="5">
    <w:abstractNumId w:val="1"/>
  </w:num>
  <w:num w:numId="6">
    <w:abstractNumId w:val="17"/>
  </w:num>
  <w:num w:numId="7">
    <w:abstractNumId w:val="37"/>
  </w:num>
  <w:num w:numId="8">
    <w:abstractNumId w:val="41"/>
  </w:num>
  <w:num w:numId="9">
    <w:abstractNumId w:val="34"/>
  </w:num>
  <w:num w:numId="10">
    <w:abstractNumId w:val="18"/>
  </w:num>
  <w:num w:numId="11">
    <w:abstractNumId w:val="5"/>
  </w:num>
  <w:num w:numId="12">
    <w:abstractNumId w:val="33"/>
  </w:num>
  <w:num w:numId="13">
    <w:abstractNumId w:val="13"/>
  </w:num>
  <w:num w:numId="14">
    <w:abstractNumId w:val="19"/>
  </w:num>
  <w:num w:numId="15">
    <w:abstractNumId w:val="14"/>
  </w:num>
  <w:num w:numId="16">
    <w:abstractNumId w:val="21"/>
  </w:num>
  <w:num w:numId="17">
    <w:abstractNumId w:val="12"/>
  </w:num>
  <w:num w:numId="18">
    <w:abstractNumId w:val="0"/>
  </w:num>
  <w:num w:numId="19">
    <w:abstractNumId w:val="38"/>
  </w:num>
  <w:num w:numId="20">
    <w:abstractNumId w:val="7"/>
  </w:num>
  <w:num w:numId="21">
    <w:abstractNumId w:val="35"/>
  </w:num>
  <w:num w:numId="22">
    <w:abstractNumId w:val="3"/>
  </w:num>
  <w:num w:numId="23">
    <w:abstractNumId w:val="8"/>
  </w:num>
  <w:num w:numId="24">
    <w:abstractNumId w:val="2"/>
  </w:num>
  <w:num w:numId="25">
    <w:abstractNumId w:val="32"/>
  </w:num>
  <w:num w:numId="26">
    <w:abstractNumId w:val="25"/>
  </w:num>
  <w:num w:numId="27">
    <w:abstractNumId w:val="42"/>
  </w:num>
  <w:num w:numId="28">
    <w:abstractNumId w:val="26"/>
  </w:num>
  <w:num w:numId="29">
    <w:abstractNumId w:val="2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26"/>
  </w:num>
  <w:num w:numId="33">
    <w:abstractNumId w:val="28"/>
  </w:num>
  <w:num w:numId="34">
    <w:abstractNumId w:val="40"/>
  </w:num>
  <w:num w:numId="35">
    <w:abstractNumId w:val="31"/>
  </w:num>
  <w:num w:numId="36">
    <w:abstractNumId w:val="15"/>
  </w:num>
  <w:num w:numId="37">
    <w:abstractNumId w:val="29"/>
  </w:num>
  <w:num w:numId="38">
    <w:abstractNumId w:val="27"/>
  </w:num>
  <w:num w:numId="39">
    <w:abstractNumId w:val="9"/>
  </w:num>
  <w:num w:numId="40">
    <w:abstractNumId w:val="24"/>
  </w:num>
  <w:num w:numId="41">
    <w:abstractNumId w:val="16"/>
  </w:num>
  <w:num w:numId="42">
    <w:abstractNumId w:val="22"/>
  </w:num>
  <w:num w:numId="43">
    <w:abstractNumId w:val="20"/>
  </w:num>
  <w:num w:numId="44">
    <w:abstractNumId w:val="39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96"/>
    <w:link w:val="78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96"/>
    <w:link w:val="788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96"/>
    <w:link w:val="78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96"/>
    <w:link w:val="79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96"/>
    <w:link w:val="79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96"/>
    <w:link w:val="79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96"/>
    <w:link w:val="79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96"/>
    <w:link w:val="7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96"/>
    <w:link w:val="79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96"/>
    <w:link w:val="809"/>
    <w:uiPriority w:val="10"/>
    <w:rPr>
      <w:sz w:val="48"/>
      <w:szCs w:val="48"/>
    </w:rPr>
  </w:style>
  <w:style w:type="character" w:styleId="38">
    <w:name w:val="Subtitle Char"/>
    <w:basedOn w:val="796"/>
    <w:link w:val="811"/>
    <w:uiPriority w:val="11"/>
    <w:rPr>
      <w:sz w:val="24"/>
      <w:szCs w:val="24"/>
    </w:rPr>
  </w:style>
  <w:style w:type="character" w:styleId="40">
    <w:name w:val="Quote Char"/>
    <w:link w:val="813"/>
    <w:uiPriority w:val="29"/>
    <w:rPr>
      <w:i/>
    </w:rPr>
  </w:style>
  <w:style w:type="character" w:styleId="42">
    <w:name w:val="Intense Quote Char"/>
    <w:link w:val="815"/>
    <w:uiPriority w:val="30"/>
    <w:rPr>
      <w:i/>
    </w:rPr>
  </w:style>
  <w:style w:type="character" w:styleId="44">
    <w:name w:val="Header Char"/>
    <w:basedOn w:val="796"/>
    <w:link w:val="817"/>
    <w:uiPriority w:val="99"/>
  </w:style>
  <w:style w:type="character" w:styleId="46">
    <w:name w:val="Footer Char"/>
    <w:basedOn w:val="796"/>
    <w:link w:val="819"/>
    <w:uiPriority w:val="99"/>
  </w:style>
  <w:style w:type="character" w:styleId="48">
    <w:name w:val="Caption Char"/>
    <w:basedOn w:val="796"/>
    <w:link w:val="821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950"/>
    <w:uiPriority w:val="99"/>
    <w:rPr>
      <w:sz w:val="18"/>
    </w:rPr>
  </w:style>
  <w:style w:type="character" w:styleId="180">
    <w:name w:val="Endnote Text Char"/>
    <w:link w:val="953"/>
    <w:uiPriority w:val="99"/>
    <w:rPr>
      <w:sz w:val="20"/>
    </w:rPr>
  </w:style>
  <w:style w:type="paragraph" w:styleId="786" w:default="1">
    <w:name w:val="Normal"/>
    <w:rPr>
      <w:color w:val="000000"/>
    </w:rPr>
  </w:style>
  <w:style w:type="paragraph" w:styleId="787">
    <w:name w:val="Heading 1"/>
    <w:basedOn w:val="786"/>
    <w:next w:val="786"/>
    <w:link w:val="79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88">
    <w:name w:val="Heading 2"/>
    <w:basedOn w:val="786"/>
    <w:next w:val="786"/>
    <w:link w:val="80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89">
    <w:name w:val="Heading 3"/>
    <w:basedOn w:val="786"/>
    <w:next w:val="786"/>
    <w:link w:val="80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90">
    <w:name w:val="Heading 4"/>
    <w:basedOn w:val="786"/>
    <w:next w:val="786"/>
    <w:link w:val="80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91">
    <w:name w:val="Heading 5"/>
    <w:basedOn w:val="786"/>
    <w:next w:val="786"/>
    <w:link w:val="80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792">
    <w:name w:val="Heading 6"/>
    <w:basedOn w:val="786"/>
    <w:next w:val="786"/>
    <w:link w:val="80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93">
    <w:name w:val="Heading 7"/>
    <w:basedOn w:val="786"/>
    <w:next w:val="786"/>
    <w:link w:val="80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94">
    <w:name w:val="Heading 8"/>
    <w:basedOn w:val="786"/>
    <w:next w:val="786"/>
    <w:link w:val="80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95">
    <w:name w:val="Heading 9"/>
    <w:basedOn w:val="786"/>
    <w:next w:val="786"/>
    <w:link w:val="80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96" w:default="1">
    <w:name w:val="Default Paragraph Font"/>
    <w:uiPriority w:val="1"/>
    <w:semiHidden/>
    <w:unhideWhenUsed/>
  </w:style>
  <w:style w:type="table" w:styleId="7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8" w:default="1">
    <w:name w:val="No List"/>
    <w:uiPriority w:val="99"/>
    <w:semiHidden/>
    <w:unhideWhenUsed/>
  </w:style>
  <w:style w:type="character" w:styleId="799" w:customStyle="1">
    <w:name w:val="Заголовок 1 Знак"/>
    <w:basedOn w:val="796"/>
    <w:link w:val="787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800" w:customStyle="1">
    <w:name w:val="Заголовок 2 Знак"/>
    <w:basedOn w:val="796"/>
    <w:link w:val="788"/>
    <w:uiPriority w:val="9"/>
    <w:rPr>
      <w:rFonts w:ascii="Liberation Sans" w:hAnsi="Liberation Sans" w:eastAsia="Liberation Sans" w:cs="Liberation Sans"/>
      <w:sz w:val="34"/>
    </w:rPr>
  </w:style>
  <w:style w:type="character" w:styleId="801" w:customStyle="1">
    <w:name w:val="Заголовок 3 Знак"/>
    <w:basedOn w:val="796"/>
    <w:link w:val="78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802" w:customStyle="1">
    <w:name w:val="Заголовок 4 Знак"/>
    <w:basedOn w:val="796"/>
    <w:link w:val="79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3" w:customStyle="1">
    <w:name w:val="Заголовок 5 Знак"/>
    <w:basedOn w:val="796"/>
    <w:link w:val="79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4" w:customStyle="1">
    <w:name w:val="Заголовок 6 Знак"/>
    <w:basedOn w:val="796"/>
    <w:link w:val="79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5" w:customStyle="1">
    <w:name w:val="Заголовок 7 Знак"/>
    <w:basedOn w:val="796"/>
    <w:link w:val="79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6" w:customStyle="1">
    <w:name w:val="Заголовок 8 Знак"/>
    <w:basedOn w:val="796"/>
    <w:link w:val="79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7" w:customStyle="1">
    <w:name w:val="Заголовок 9 Знак"/>
    <w:basedOn w:val="796"/>
    <w:link w:val="79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808">
    <w:name w:val="No Spacing"/>
    <w:uiPriority w:val="1"/>
    <w:qFormat/>
  </w:style>
  <w:style w:type="paragraph" w:styleId="809">
    <w:name w:val="Title"/>
    <w:basedOn w:val="786"/>
    <w:next w:val="786"/>
    <w:link w:val="8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0" w:customStyle="1">
    <w:name w:val="Заголовок Знак"/>
    <w:basedOn w:val="796"/>
    <w:link w:val="809"/>
    <w:uiPriority w:val="10"/>
    <w:rPr>
      <w:sz w:val="48"/>
      <w:szCs w:val="48"/>
    </w:rPr>
  </w:style>
  <w:style w:type="paragraph" w:styleId="811">
    <w:name w:val="Subtitle"/>
    <w:basedOn w:val="786"/>
    <w:next w:val="786"/>
    <w:link w:val="812"/>
    <w:uiPriority w:val="11"/>
    <w:qFormat/>
    <w:pPr>
      <w:spacing w:before="200" w:after="200"/>
    </w:pPr>
  </w:style>
  <w:style w:type="character" w:styleId="812" w:customStyle="1">
    <w:name w:val="Подзаголовок Знак"/>
    <w:basedOn w:val="796"/>
    <w:link w:val="811"/>
    <w:uiPriority w:val="11"/>
    <w:rPr>
      <w:sz w:val="24"/>
      <w:szCs w:val="24"/>
    </w:rPr>
  </w:style>
  <w:style w:type="paragraph" w:styleId="813">
    <w:name w:val="Quote"/>
    <w:basedOn w:val="786"/>
    <w:next w:val="786"/>
    <w:link w:val="814"/>
    <w:uiPriority w:val="29"/>
    <w:qFormat/>
    <w:pPr>
      <w:ind w:left="720" w:right="720"/>
    </w:pPr>
    <w:rPr>
      <w:i/>
    </w:rPr>
  </w:style>
  <w:style w:type="character" w:styleId="814" w:customStyle="1">
    <w:name w:val="Цитата 2 Знак"/>
    <w:link w:val="813"/>
    <w:uiPriority w:val="29"/>
    <w:rPr>
      <w:i/>
    </w:rPr>
  </w:style>
  <w:style w:type="paragraph" w:styleId="815">
    <w:name w:val="Intense Quote"/>
    <w:basedOn w:val="786"/>
    <w:next w:val="786"/>
    <w:link w:val="8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6" w:customStyle="1">
    <w:name w:val="Выделенная цитата Знак"/>
    <w:link w:val="815"/>
    <w:uiPriority w:val="30"/>
    <w:rPr>
      <w:i/>
    </w:rPr>
  </w:style>
  <w:style w:type="paragraph" w:styleId="817">
    <w:name w:val="Header"/>
    <w:basedOn w:val="786"/>
    <w:link w:val="818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18" w:customStyle="1">
    <w:name w:val="Верхний колонтитул Знак"/>
    <w:basedOn w:val="796"/>
    <w:link w:val="817"/>
    <w:uiPriority w:val="99"/>
  </w:style>
  <w:style w:type="paragraph" w:styleId="819">
    <w:name w:val="Footer"/>
    <w:basedOn w:val="786"/>
    <w:link w:val="82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20" w:customStyle="1">
    <w:name w:val="Нижний колонтитул Знак"/>
    <w:basedOn w:val="796"/>
    <w:link w:val="819"/>
    <w:uiPriority w:val="99"/>
  </w:style>
  <w:style w:type="paragraph" w:styleId="821">
    <w:name w:val="Caption"/>
    <w:basedOn w:val="786"/>
    <w:next w:val="786"/>
    <w:link w:val="8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2" w:customStyle="1">
    <w:name w:val="Название объекта Знак"/>
    <w:basedOn w:val="796"/>
    <w:link w:val="821"/>
    <w:uiPriority w:val="35"/>
    <w:rPr>
      <w:b/>
      <w:bCs/>
      <w:color w:val="4f81bd" w:themeColor="accent1"/>
      <w:sz w:val="18"/>
      <w:szCs w:val="18"/>
    </w:rPr>
  </w:style>
  <w:style w:type="table" w:styleId="823">
    <w:name w:val="Table Grid"/>
    <w:basedOn w:val="79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24" w:customStyle="1">
    <w:name w:val="Table Grid Light"/>
    <w:basedOn w:val="79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5">
    <w:name w:val="Plain Table 1"/>
    <w:basedOn w:val="79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6">
    <w:name w:val="Plain Table 2"/>
    <w:basedOn w:val="79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27">
    <w:name w:val="Plain Table 3"/>
    <w:basedOn w:val="797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8">
    <w:name w:val="Plain Table 4"/>
    <w:basedOn w:val="797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Plain Table 5"/>
    <w:basedOn w:val="797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0">
    <w:name w:val="Grid Table 1 Light"/>
    <w:basedOn w:val="79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1"/>
    <w:basedOn w:val="79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2"/>
    <w:basedOn w:val="79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3"/>
    <w:basedOn w:val="79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4"/>
    <w:basedOn w:val="79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5"/>
    <w:basedOn w:val="79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6"/>
    <w:basedOn w:val="79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2"/>
    <w:basedOn w:val="79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1"/>
    <w:basedOn w:val="79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2"/>
    <w:basedOn w:val="79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3"/>
    <w:basedOn w:val="79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4"/>
    <w:basedOn w:val="79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5"/>
    <w:basedOn w:val="79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6"/>
    <w:basedOn w:val="79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"/>
    <w:basedOn w:val="79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1"/>
    <w:basedOn w:val="797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2"/>
    <w:basedOn w:val="797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3"/>
    <w:basedOn w:val="797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4"/>
    <w:basedOn w:val="797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5"/>
    <w:basedOn w:val="797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6"/>
    <w:basedOn w:val="797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4"/>
    <w:basedOn w:val="79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2" w:customStyle="1">
    <w:name w:val="Grid Table 4 - Accent 1"/>
    <w:basedOn w:val="797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53" w:customStyle="1">
    <w:name w:val="Grid Table 4 - Accent 2"/>
    <w:basedOn w:val="797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4" w:customStyle="1">
    <w:name w:val="Grid Table 4 - Accent 3"/>
    <w:basedOn w:val="797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5" w:customStyle="1">
    <w:name w:val="Grid Table 4 - Accent 4"/>
    <w:basedOn w:val="797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6" w:customStyle="1">
    <w:name w:val="Grid Table 4 - Accent 5"/>
    <w:basedOn w:val="797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7" w:customStyle="1">
    <w:name w:val="Grid Table 4 - Accent 6"/>
    <w:basedOn w:val="797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8">
    <w:name w:val="Grid Table 5 Dark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- Accent 1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2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3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- Accent 4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5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 - Accent 6"/>
    <w:basedOn w:val="79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5">
    <w:name w:val="Grid Table 6 Colorful"/>
    <w:basedOn w:val="79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6" w:customStyle="1">
    <w:name w:val="Grid Table 6 Colorful - Accent 1"/>
    <w:basedOn w:val="797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7" w:customStyle="1">
    <w:name w:val="Grid Table 6 Colorful - Accent 2"/>
    <w:basedOn w:val="79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8" w:customStyle="1">
    <w:name w:val="Grid Table 6 Colorful - Accent 3"/>
    <w:basedOn w:val="797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9" w:customStyle="1">
    <w:name w:val="Grid Table 6 Colorful - Accent 4"/>
    <w:basedOn w:val="79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0" w:customStyle="1">
    <w:name w:val="Grid Table 6 Colorful - Accent 5"/>
    <w:basedOn w:val="797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1" w:customStyle="1">
    <w:name w:val="Grid Table 6 Colorful - Accent 6"/>
    <w:basedOn w:val="797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2">
    <w:name w:val="Grid Table 7 Colorful"/>
    <w:basedOn w:val="79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1"/>
    <w:basedOn w:val="797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2"/>
    <w:basedOn w:val="797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3"/>
    <w:basedOn w:val="797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4"/>
    <w:basedOn w:val="797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5"/>
    <w:basedOn w:val="797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6"/>
    <w:basedOn w:val="797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"/>
    <w:basedOn w:val="79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1"/>
    <w:basedOn w:val="797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2"/>
    <w:basedOn w:val="797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3"/>
    <w:basedOn w:val="797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4"/>
    <w:basedOn w:val="797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5"/>
    <w:basedOn w:val="797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6"/>
    <w:basedOn w:val="797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2"/>
    <w:basedOn w:val="79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1"/>
    <w:basedOn w:val="797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2"/>
    <w:basedOn w:val="797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3"/>
    <w:basedOn w:val="797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4"/>
    <w:basedOn w:val="797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5"/>
    <w:basedOn w:val="797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6"/>
    <w:basedOn w:val="797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93">
    <w:name w:val="List Table 3"/>
    <w:basedOn w:val="79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1"/>
    <w:basedOn w:val="797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2"/>
    <w:basedOn w:val="797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3"/>
    <w:basedOn w:val="797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4"/>
    <w:basedOn w:val="797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5"/>
    <w:basedOn w:val="797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6"/>
    <w:basedOn w:val="797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"/>
    <w:basedOn w:val="79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1"/>
    <w:basedOn w:val="797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2"/>
    <w:basedOn w:val="797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3"/>
    <w:basedOn w:val="797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4"/>
    <w:basedOn w:val="797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5"/>
    <w:basedOn w:val="797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6"/>
    <w:basedOn w:val="797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5 Dark"/>
    <w:basedOn w:val="79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8" w:customStyle="1">
    <w:name w:val="List Table 5 Dark - Accent 1"/>
    <w:basedOn w:val="797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09" w:customStyle="1">
    <w:name w:val="List Table 5 Dark - Accent 2"/>
    <w:basedOn w:val="797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0" w:customStyle="1">
    <w:name w:val="List Table 5 Dark - Accent 3"/>
    <w:basedOn w:val="797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1" w:customStyle="1">
    <w:name w:val="List Table 5 Dark - Accent 4"/>
    <w:basedOn w:val="797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2" w:customStyle="1">
    <w:name w:val="List Table 5 Dark - Accent 5"/>
    <w:basedOn w:val="797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3" w:customStyle="1">
    <w:name w:val="List Table 5 Dark - Accent 6"/>
    <w:basedOn w:val="797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914">
    <w:name w:val="List Table 6 Colorful"/>
    <w:basedOn w:val="79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5" w:customStyle="1">
    <w:name w:val="List Table 6 Colorful - Accent 1"/>
    <w:basedOn w:val="797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6" w:customStyle="1">
    <w:name w:val="List Table 6 Colorful - Accent 2"/>
    <w:basedOn w:val="797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7" w:customStyle="1">
    <w:name w:val="List Table 6 Colorful - Accent 3"/>
    <w:basedOn w:val="797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8" w:customStyle="1">
    <w:name w:val="List Table 6 Colorful - Accent 4"/>
    <w:basedOn w:val="797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9" w:customStyle="1">
    <w:name w:val="List Table 6 Colorful - Accent 5"/>
    <w:basedOn w:val="797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0" w:customStyle="1">
    <w:name w:val="List Table 6 Colorful - Accent 6"/>
    <w:basedOn w:val="797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1">
    <w:name w:val="List Table 7 Colorful"/>
    <w:basedOn w:val="79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1"/>
    <w:basedOn w:val="797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2"/>
    <w:basedOn w:val="797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3"/>
    <w:basedOn w:val="797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4"/>
    <w:basedOn w:val="797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5"/>
    <w:basedOn w:val="797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6"/>
    <w:basedOn w:val="797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ned - Accent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9" w:customStyle="1">
    <w:name w:val="Lined - Accent 1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0" w:customStyle="1">
    <w:name w:val="Lined - Accent 2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1" w:customStyle="1">
    <w:name w:val="Lined - Accent 3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2" w:customStyle="1">
    <w:name w:val="Lined - Accent 4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3" w:customStyle="1">
    <w:name w:val="Lined - Accent 5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4" w:customStyle="1">
    <w:name w:val="Lined - Accent 6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5" w:customStyle="1">
    <w:name w:val="Bordered &amp; Lined - Accent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6" w:customStyle="1">
    <w:name w:val="Bordered &amp; Lined - Accent 1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7" w:customStyle="1">
    <w:name w:val="Bordered &amp; Lined - Accent 2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8" w:customStyle="1">
    <w:name w:val="Bordered &amp; Lined - Accent 3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9" w:customStyle="1">
    <w:name w:val="Bordered &amp; Lined - Accent 4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0" w:customStyle="1">
    <w:name w:val="Bordered &amp; Lined - Accent 5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1" w:customStyle="1">
    <w:name w:val="Bordered &amp; Lined - Accent 6"/>
    <w:basedOn w:val="797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2" w:customStyle="1">
    <w:name w:val="Bordered"/>
    <w:basedOn w:val="79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3" w:customStyle="1">
    <w:name w:val="Bordered - Accent 1"/>
    <w:basedOn w:val="797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4" w:customStyle="1">
    <w:name w:val="Bordered - Accent 2"/>
    <w:basedOn w:val="797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5" w:customStyle="1">
    <w:name w:val="Bordered - Accent 3"/>
    <w:basedOn w:val="797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6" w:customStyle="1">
    <w:name w:val="Bordered - Accent 4"/>
    <w:basedOn w:val="797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7" w:customStyle="1">
    <w:name w:val="Bordered - Accent 5"/>
    <w:basedOn w:val="797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8" w:customStyle="1">
    <w:name w:val="Bordered - Accent 6"/>
    <w:basedOn w:val="797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49">
    <w:name w:val="Hyperlink"/>
    <w:uiPriority w:val="99"/>
    <w:unhideWhenUsed/>
    <w:rPr>
      <w:color w:val="0000ff" w:themeColor="hyperlink"/>
      <w:u w:val="single"/>
    </w:rPr>
  </w:style>
  <w:style w:type="paragraph" w:styleId="950">
    <w:name w:val="footnote text"/>
    <w:basedOn w:val="786"/>
    <w:link w:val="951"/>
    <w:uiPriority w:val="99"/>
    <w:semiHidden/>
    <w:unhideWhenUsed/>
    <w:pPr>
      <w:spacing w:after="40"/>
    </w:pPr>
    <w:rPr>
      <w:sz w:val="18"/>
    </w:rPr>
  </w:style>
  <w:style w:type="character" w:styleId="951" w:customStyle="1">
    <w:name w:val="Текст сноски Знак"/>
    <w:link w:val="950"/>
    <w:uiPriority w:val="99"/>
    <w:rPr>
      <w:sz w:val="18"/>
    </w:rPr>
  </w:style>
  <w:style w:type="character" w:styleId="952">
    <w:name w:val="footnote reference"/>
    <w:basedOn w:val="796"/>
    <w:uiPriority w:val="99"/>
    <w:unhideWhenUsed/>
    <w:rPr>
      <w:vertAlign w:val="superscript"/>
    </w:rPr>
  </w:style>
  <w:style w:type="paragraph" w:styleId="953">
    <w:name w:val="endnote text"/>
    <w:basedOn w:val="786"/>
    <w:link w:val="954"/>
    <w:uiPriority w:val="99"/>
    <w:semiHidden/>
    <w:unhideWhenUsed/>
    <w:rPr>
      <w:sz w:val="20"/>
    </w:rPr>
  </w:style>
  <w:style w:type="character" w:styleId="954" w:customStyle="1">
    <w:name w:val="Текст концевой сноски Знак"/>
    <w:link w:val="953"/>
    <w:uiPriority w:val="99"/>
    <w:rPr>
      <w:sz w:val="20"/>
    </w:rPr>
  </w:style>
  <w:style w:type="character" w:styleId="955">
    <w:name w:val="endnote reference"/>
    <w:basedOn w:val="796"/>
    <w:uiPriority w:val="99"/>
    <w:semiHidden/>
    <w:unhideWhenUsed/>
    <w:rPr>
      <w:vertAlign w:val="superscript"/>
    </w:rPr>
  </w:style>
  <w:style w:type="paragraph" w:styleId="956">
    <w:name w:val="toc 1"/>
    <w:basedOn w:val="786"/>
    <w:next w:val="786"/>
    <w:uiPriority w:val="39"/>
    <w:unhideWhenUsed/>
    <w:pPr>
      <w:spacing w:after="57"/>
    </w:pPr>
  </w:style>
  <w:style w:type="paragraph" w:styleId="957">
    <w:name w:val="toc 2"/>
    <w:basedOn w:val="786"/>
    <w:next w:val="786"/>
    <w:uiPriority w:val="39"/>
    <w:unhideWhenUsed/>
    <w:pPr>
      <w:ind w:left="283"/>
      <w:spacing w:after="57"/>
    </w:pPr>
  </w:style>
  <w:style w:type="paragraph" w:styleId="958">
    <w:name w:val="toc 3"/>
    <w:basedOn w:val="786"/>
    <w:next w:val="786"/>
    <w:uiPriority w:val="39"/>
    <w:unhideWhenUsed/>
    <w:pPr>
      <w:ind w:left="567"/>
      <w:spacing w:after="57"/>
    </w:pPr>
  </w:style>
  <w:style w:type="paragraph" w:styleId="959">
    <w:name w:val="toc 4"/>
    <w:basedOn w:val="786"/>
    <w:next w:val="786"/>
    <w:uiPriority w:val="39"/>
    <w:unhideWhenUsed/>
    <w:pPr>
      <w:ind w:left="850"/>
      <w:spacing w:after="57"/>
    </w:pPr>
  </w:style>
  <w:style w:type="paragraph" w:styleId="960">
    <w:name w:val="toc 5"/>
    <w:basedOn w:val="786"/>
    <w:next w:val="786"/>
    <w:uiPriority w:val="39"/>
    <w:unhideWhenUsed/>
    <w:pPr>
      <w:ind w:left="1134"/>
      <w:spacing w:after="57"/>
    </w:pPr>
  </w:style>
  <w:style w:type="paragraph" w:styleId="961">
    <w:name w:val="toc 6"/>
    <w:basedOn w:val="786"/>
    <w:next w:val="786"/>
    <w:uiPriority w:val="39"/>
    <w:unhideWhenUsed/>
    <w:pPr>
      <w:ind w:left="1417"/>
      <w:spacing w:after="57"/>
    </w:pPr>
  </w:style>
  <w:style w:type="paragraph" w:styleId="962">
    <w:name w:val="toc 7"/>
    <w:basedOn w:val="786"/>
    <w:next w:val="786"/>
    <w:uiPriority w:val="39"/>
    <w:unhideWhenUsed/>
    <w:pPr>
      <w:ind w:left="1701"/>
      <w:spacing w:after="57"/>
    </w:pPr>
  </w:style>
  <w:style w:type="paragraph" w:styleId="963">
    <w:name w:val="toc 8"/>
    <w:basedOn w:val="786"/>
    <w:next w:val="786"/>
    <w:uiPriority w:val="39"/>
    <w:unhideWhenUsed/>
    <w:pPr>
      <w:ind w:left="1984"/>
      <w:spacing w:after="57"/>
    </w:pPr>
  </w:style>
  <w:style w:type="paragraph" w:styleId="964">
    <w:name w:val="toc 9"/>
    <w:basedOn w:val="786"/>
    <w:next w:val="786"/>
    <w:uiPriority w:val="39"/>
    <w:unhideWhenUsed/>
    <w:pPr>
      <w:ind w:left="2268"/>
      <w:spacing w:after="57"/>
    </w:pPr>
  </w:style>
  <w:style w:type="paragraph" w:styleId="965">
    <w:name w:val="TOC Heading"/>
    <w:uiPriority w:val="39"/>
    <w:unhideWhenUsed/>
  </w:style>
  <w:style w:type="paragraph" w:styleId="966">
    <w:name w:val="table of figures"/>
    <w:basedOn w:val="786"/>
    <w:next w:val="786"/>
    <w:uiPriority w:val="99"/>
    <w:unhideWhenUsed/>
  </w:style>
  <w:style w:type="character" w:styleId="967" w:customStyle="1">
    <w:name w:val="Основной текст_"/>
    <w:basedOn w:val="796"/>
    <w:link w:val="97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styleId="968" w:customStyle="1">
    <w:name w:val="Заголовок №1_"/>
    <w:basedOn w:val="796"/>
    <w:link w:val="972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styleId="969" w:customStyle="1">
    <w:name w:val="Колонтитул (2)_"/>
    <w:basedOn w:val="796"/>
    <w:link w:val="973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styleId="970" w:customStyle="1">
    <w:name w:val="Основной текст (2)_"/>
    <w:basedOn w:val="796"/>
    <w:link w:val="974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971" w:customStyle="1">
    <w:name w:val="Основной текст1"/>
    <w:basedOn w:val="786"/>
    <w:link w:val="967"/>
    <w:pPr>
      <w:ind w:firstLine="400"/>
    </w:pPr>
    <w:rPr>
      <w:rFonts w:ascii="Times New Roman" w:hAnsi="Times New Roman" w:eastAsia="Times New Roman" w:cs="Times New Roman"/>
      <w:sz w:val="28"/>
      <w:szCs w:val="28"/>
    </w:rPr>
  </w:style>
  <w:style w:type="paragraph" w:styleId="972" w:customStyle="1">
    <w:name w:val="Заголовок №1"/>
    <w:basedOn w:val="786"/>
    <w:link w:val="968"/>
    <w:pPr>
      <w:ind w:firstLine="720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973" w:customStyle="1">
    <w:name w:val="Колонтитул (2)"/>
    <w:basedOn w:val="786"/>
    <w:link w:val="969"/>
    <w:rPr>
      <w:rFonts w:ascii="Times New Roman" w:hAnsi="Times New Roman" w:eastAsia="Times New Roman" w:cs="Times New Roman"/>
      <w:sz w:val="20"/>
      <w:szCs w:val="20"/>
    </w:rPr>
  </w:style>
  <w:style w:type="paragraph" w:styleId="974" w:customStyle="1">
    <w:name w:val="Основной текст (2)"/>
    <w:basedOn w:val="786"/>
    <w:link w:val="970"/>
    <w:rPr>
      <w:rFonts w:ascii="Times New Roman" w:hAnsi="Times New Roman" w:eastAsia="Times New Roman" w:cs="Times New Roman"/>
    </w:rPr>
  </w:style>
  <w:style w:type="paragraph" w:styleId="975" w:customStyle="1">
    <w:name w:val="Style8"/>
    <w:basedOn w:val="786"/>
    <w:uiPriority w:val="99"/>
    <w:pPr>
      <w:ind w:firstLine="842"/>
      <w:jc w:val="both"/>
      <w:spacing w:line="275" w:lineRule="exact"/>
    </w:pPr>
    <w:rPr>
      <w:rFonts w:ascii="Arial" w:hAnsi="Arial" w:eastAsia="Times New Roman" w:cs="Arial"/>
      <w:color w:val="auto"/>
      <w:lang w:bidi="ar-SA"/>
    </w:rPr>
  </w:style>
  <w:style w:type="character" w:styleId="976" w:customStyle="1">
    <w:name w:val="Абзац списка Знак"/>
    <w:link w:val="977"/>
    <w:uiPriority w:val="34"/>
    <w:rPr>
      <w:rFonts w:ascii="Calibri" w:hAnsi="Calibri" w:eastAsia="Calibri"/>
      <w:sz w:val="22"/>
      <w:szCs w:val="22"/>
      <w:lang w:eastAsia="en-US"/>
    </w:rPr>
  </w:style>
  <w:style w:type="paragraph" w:styleId="977">
    <w:name w:val="List Paragraph"/>
    <w:basedOn w:val="786"/>
    <w:link w:val="976"/>
    <w:uiPriority w:val="34"/>
    <w:qFormat/>
    <w:pPr>
      <w:contextualSpacing/>
      <w:ind w:left="720"/>
      <w:spacing w:after="200" w:line="276" w:lineRule="auto"/>
      <w:widowControl/>
    </w:pPr>
    <w:rPr>
      <w:rFonts w:ascii="Calibri" w:hAnsi="Calibri" w:eastAsia="Calibri"/>
      <w:color w:val="auto"/>
      <w:sz w:val="22"/>
      <w:szCs w:val="22"/>
      <w:lang w:eastAsia="en-US"/>
    </w:rPr>
  </w:style>
  <w:style w:type="paragraph" w:styleId="978">
    <w:name w:val="Body Text"/>
    <w:basedOn w:val="786"/>
    <w:link w:val="979"/>
    <w:semiHidden/>
    <w:unhideWhenUsed/>
    <w:pPr>
      <w:jc w:val="both"/>
      <w:spacing w:after="119"/>
      <w:widowControl/>
    </w:pPr>
    <w:rPr>
      <w:rFonts w:ascii="Arial" w:hAnsi="Arial" w:eastAsia="Times New Roman" w:cs="Times New Roman"/>
      <w:color w:val="auto"/>
      <w:lang w:eastAsia="ar-SA" w:bidi="ar-SA"/>
    </w:rPr>
  </w:style>
  <w:style w:type="character" w:styleId="979" w:customStyle="1">
    <w:name w:val="Основной текст Знак"/>
    <w:basedOn w:val="796"/>
    <w:link w:val="978"/>
    <w:semiHidden/>
    <w:rPr>
      <w:rFonts w:ascii="Arial" w:hAnsi="Arial" w:eastAsia="Times New Roman" w:cs="Times New Roman"/>
      <w:lang w:eastAsia="ar-SA" w:bidi="ar-SA"/>
    </w:rPr>
  </w:style>
  <w:style w:type="paragraph" w:styleId="980">
    <w:name w:val="Body Text Indent"/>
    <w:basedOn w:val="786"/>
    <w:link w:val="981"/>
    <w:semiHidden/>
    <w:unhideWhenUsed/>
    <w:pPr>
      <w:ind w:left="283"/>
      <w:spacing w:after="120"/>
      <w:widowControl/>
    </w:pPr>
    <w:rPr>
      <w:rFonts w:ascii="Times New Roman" w:hAnsi="Times New Roman" w:eastAsia="Times New Roman" w:cs="Times New Roman"/>
      <w:color w:val="auto"/>
      <w:lang w:bidi="ar-SA"/>
    </w:rPr>
  </w:style>
  <w:style w:type="character" w:styleId="981" w:customStyle="1">
    <w:name w:val="Основной текст с отступом Знак"/>
    <w:basedOn w:val="796"/>
    <w:link w:val="980"/>
    <w:semiHidden/>
    <w:rPr>
      <w:rFonts w:ascii="Times New Roman" w:hAnsi="Times New Roman" w:eastAsia="Times New Roman" w:cs="Times New Roman"/>
      <w:lang w:bidi="ar-SA"/>
    </w:rPr>
  </w:style>
  <w:style w:type="character" w:styleId="982" w:customStyle="1">
    <w:name w:val="Font Style30"/>
    <w:basedOn w:val="796"/>
    <w:uiPriority w:val="99"/>
    <w:rPr>
      <w:rFonts w:hint="default" w:ascii="Times New Roman" w:hAnsi="Times New Roman" w:cs="Times New Roman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cp:lastModifiedBy>koliukh</cp:lastModifiedBy>
  <cp:revision>36</cp:revision>
  <dcterms:created xsi:type="dcterms:W3CDTF">2022-12-30T06:42:00Z</dcterms:created>
  <dcterms:modified xsi:type="dcterms:W3CDTF">2026-10-01T06:57:23Z</dcterms:modified>
</cp:coreProperties>
</file>