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редседателю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 Воронеж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Е.С.Литвинчук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45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45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(</w:t>
      </w:r>
      <w:bookmarkStart w:id="0" w:name="_GoBack"/>
      <w:bookmarkEnd w:id="0"/>
      <w:r>
        <w:rPr>
          <w:rFonts w:ascii="Times New Roman" w:hAnsi="Times New Roman" w:cs="Times New Roman"/>
          <w:sz w:val="22"/>
        </w:rPr>
        <w:t xml:space="preserve">Ф.И.О. субъекта персональных данных)</w:t>
      </w:r>
      <w:r>
        <w:rPr>
          <w:rFonts w:ascii="Times New Roman" w:hAnsi="Times New Roman" w:cs="Times New Roman"/>
          <w:sz w:val="22"/>
        </w:rPr>
      </w:r>
      <w:r>
        <w:rPr>
          <w:rFonts w:ascii="Times New Roman" w:hAnsi="Times New Roman" w:cs="Times New Roman"/>
          <w:sz w:val="22"/>
        </w:rPr>
      </w:r>
    </w:p>
    <w:p>
      <w:pPr>
        <w:pStyle w:val="10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_____________________________________,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адрес: 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45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45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4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45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</w:r>
      <w:r>
        <w:rPr>
          <w:rFonts w:ascii="Times New Roman" w:hAnsi="Times New Roman" w:cs="Times New Roman"/>
          <w:b/>
          <w:sz w:val="16"/>
          <w:szCs w:val="16"/>
        </w:rPr>
      </w:r>
      <w:r>
        <w:rPr>
          <w:rFonts w:ascii="Times New Roman" w:hAnsi="Times New Roman" w:cs="Times New Roman"/>
          <w:b/>
          <w:sz w:val="16"/>
          <w:szCs w:val="16"/>
        </w:rPr>
      </w:r>
    </w:p>
    <w:p>
      <w:pPr>
        <w:pStyle w:val="104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Согласие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04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обработку персональных данных,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04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разрешенных субъектом персональных данных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04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распространения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04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45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Я,________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(Ф.И.О., паспортные данные, в т.ч. дата выдачи, выдавший орган),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9" w:tooltip="consultantplus://offline/ref=FD8F19D37AED486558201090371047356E2AEE96011304D8603786602E19EC55779AF14629F230D46A404A20D43999B527EF07FCpFj3L" w:history="1">
        <w:r>
          <w:rPr>
            <w:rFonts w:ascii="Times New Roman" w:hAnsi="Times New Roman" w:cs="Times New Roman"/>
            <w:sz w:val="28"/>
            <w:szCs w:val="28"/>
          </w:rPr>
          <w:t xml:space="preserve">ст. 10.1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27.07.2006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заявляю</w:t>
      </w:r>
      <w:r>
        <w:rPr>
          <w:rFonts w:ascii="Times New Roman" w:hAnsi="Times New Roman" w:cs="Times New Roman"/>
          <w:sz w:val="28"/>
          <w:szCs w:val="28"/>
        </w:rPr>
        <w:t xml:space="preserve"> о согласии на обработку</w:t>
      </w:r>
      <w:r>
        <w:rPr>
          <w:rStyle w:val="1051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 моих персональных данных</w:t>
      </w:r>
      <w:r>
        <w:rPr>
          <w:rStyle w:val="1051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 xml:space="preserve">, разрешенных для распространения </w:t>
      </w:r>
      <w:r>
        <w:rPr>
          <w:rStyle w:val="1051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оператором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Контрольно-счетной палатой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городского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округа г</w:t>
      </w:r>
      <w:r>
        <w:rPr>
          <w:rFonts w:ascii="Times New Roman" w:hAnsi="Times New Roman" w:cs="Times New Roman"/>
          <w:b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b/>
          <w:sz w:val="28"/>
          <w:szCs w:val="28"/>
        </w:rPr>
        <w:t xml:space="preserve">Воронеж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КСП)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расположенной</w:t>
      </w:r>
      <w:r>
        <w:rPr>
          <w:rFonts w:ascii="Times New Roman" w:hAnsi="Times New Roman" w:cs="Times New Roman"/>
          <w:sz w:val="28"/>
          <w:szCs w:val="28"/>
        </w:rPr>
        <w:t xml:space="preserve"> по адресу </w:t>
      </w:r>
      <w:r>
        <w:rPr>
          <w:rFonts w:ascii="Times New Roman" w:hAnsi="Times New Roman" w:cs="Times New Roman"/>
          <w:sz w:val="28"/>
          <w:szCs w:val="28"/>
        </w:rPr>
        <w:t xml:space="preserve">г.Воронеж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ул.Средне</w:t>
      </w:r>
      <w:r>
        <w:rPr>
          <w:rFonts w:ascii="Times New Roman" w:hAnsi="Times New Roman" w:cs="Times New Roman"/>
          <w:sz w:val="28"/>
          <w:szCs w:val="28"/>
        </w:rPr>
        <w:t xml:space="preserve">-Московская, д.10, ИНН - 3666129958 ; ОГРН - 1063667002618; с использованием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информационных ресурсов: 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ф</w:t>
      </w:r>
      <w:r>
        <w:rPr>
          <w:rFonts w:ascii="Times New Roman" w:hAnsi="Times New Roman" w:cs="Times New Roman"/>
          <w:b/>
          <w:sz w:val="28"/>
          <w:szCs w:val="28"/>
        </w:rPr>
        <w:t xml:space="preserve">ициального сайта Контрольно-счетной палаты городского округа город Воронеж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0" w:tooltip="https://ksp36.ru" w:history="1">
        <w:r>
          <w:rPr>
            <w:rStyle w:val="1052"/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</w:rPr>
          <w:t xml:space="preserve">(https://ksp36.ru</w:t>
        </w:r>
      </w:hyperlink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или иной официальный сайт),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официальных страниц КСП в социальных сетях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формирования кадрового резерва КСП (</w:t>
      </w:r>
      <w:r>
        <w:rPr>
          <w:rFonts w:ascii="Times New Roman" w:hAnsi="Times New Roman" w:cs="Times New Roman"/>
          <w:sz w:val="28"/>
          <w:szCs w:val="28"/>
        </w:rPr>
        <w:t xml:space="preserve">размещения информации о допуске к участию в конкурсе на включение в кадровый резерв и размещения информации о результатах конкурса на включение в кадровый резерв),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учетом следующего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844" w:type="dxa"/>
        <w:tblInd w:w="-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764"/>
        <w:gridCol w:w="1985"/>
        <w:gridCol w:w="2268"/>
        <w:gridCol w:w="2126"/>
        <w:gridCol w:w="1701"/>
      </w:tblGrid>
      <w:tr>
        <w:trPr/>
        <w:tblPrEx/>
        <w:tc>
          <w:tcPr>
            <w:tcW w:w="1764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персональных данных, на обработку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которых дается согласие</w:t>
            </w:r>
            <w:r>
              <w:rPr>
                <w:rStyle w:val="1051"/>
                <w:rFonts w:ascii="Times New Roman" w:hAnsi="Times New Roman" w:cs="Times New Roman"/>
                <w:sz w:val="24"/>
                <w:szCs w:val="24"/>
              </w:rPr>
              <w:footnoteReference w:id="5"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персональных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Передача</w:t>
            </w:r>
            <w:r>
              <w:rPr>
                <w:rStyle w:val="1051"/>
                <w:rFonts w:ascii="Times New Roman" w:hAnsi="Times New Roman" w:cs="Times New Roman"/>
                <w:sz w:val="24"/>
                <w:szCs w:val="24"/>
                <w:u w:val="single"/>
              </w:rPr>
              <w:footnoteReference w:id="6"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персональных данных оператором неограниченному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кругу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подчеркнуть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выбранный вариант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Обработка</w:t>
            </w:r>
            <w:r>
              <w:rPr>
                <w:rStyle w:val="1051"/>
                <w:rFonts w:ascii="Times New Roman" w:hAnsi="Times New Roman" w:cs="Times New Roman"/>
                <w:sz w:val="24"/>
                <w:szCs w:val="24"/>
                <w:u w:val="single"/>
              </w:rPr>
              <w:footnoteReference w:id="7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персональных данных неограниченным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кругом лиц: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запрещено с условиями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подчеркнуть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выбранный вариант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ри выборе варианта «не запрещено с условиями» заполняется графа 5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выбора в графе 4 значения «не запрещено,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условиями» указать информацию о запрещаемых действиях по обработке персональных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указать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выбранный вариант</w:t>
            </w:r>
            <w:r>
              <w:rPr>
                <w:rStyle w:val="1051"/>
                <w:rFonts w:ascii="Times New Roman" w:hAnsi="Times New Roman" w:cs="Times New Roman"/>
                <w:i/>
                <w:sz w:val="28"/>
                <w:szCs w:val="28"/>
              </w:rPr>
              <w:footnoteReference w:id="8"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</w:tr>
      <w:tr>
        <w:trPr/>
        <w:tblPrEx/>
        <w:tc>
          <w:tcPr>
            <w:tcW w:w="1764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1764" w:type="dxa"/>
            <w:vMerge w:val="restart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ерсональные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Style w:val="10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запрещено с условиями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1764" w:type="dxa"/>
            <w:vMerge w:val="continue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Style w:val="10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запрещено с условиями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1764" w:type="dxa"/>
            <w:vMerge w:val="continue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Style w:val="10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запрещено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запрещено с условиями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1764" w:type="dxa"/>
            <w:vMerge w:val="continue"/>
            <w:noWrap w:val="false"/>
            <w:textDirection w:val="lrTb"/>
          </w:tcPr>
          <w:p/>
        </w:tc>
        <w:tc>
          <w:tcPr>
            <w:tcW w:w="1985" w:type="dxa"/>
            <w:vMerge w:val="restart"/>
            <w:noWrap w:val="false"/>
            <w:textDirection w:val="lrTb"/>
          </w:tcPr>
          <w:p>
            <w:pPr>
              <w:pStyle w:val="10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запрещено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запрещено с условиями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1764" w:type="dxa"/>
            <w:vMerge w:val="restart"/>
            <w:noWrap w:val="false"/>
            <w:textDirection w:val="lrTb"/>
          </w:tcPr>
          <w:p>
            <w:pPr>
              <w:pStyle w:val="10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иометрические персональные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Style w:val="10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видеозапись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запрещено с условиями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1764" w:type="dxa"/>
            <w:vMerge w:val="continue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Style w:val="10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цветное цифровое фотографическое изображение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запрещено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не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запрещено;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запрещено с условиями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noWrap w:val="false"/>
            <w:textDirection w:val="lrTb"/>
          </w:tcPr>
          <w:p>
            <w:pPr>
              <w:pStyle w:val="10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10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1054"/>
        <w:tblW w:w="9781" w:type="dxa"/>
        <w:tblInd w:w="108" w:type="dxa"/>
        <w:tblLook w:val="04A0" w:firstRow="1" w:lastRow="0" w:firstColumn="1" w:lastColumn="0" w:noHBand="0" w:noVBand="1"/>
      </w:tblPr>
      <w:tblGrid>
        <w:gridCol w:w="5954"/>
        <w:gridCol w:w="3827"/>
      </w:tblGrid>
      <w:tr>
        <w:trPr/>
        <w:tblPrEx/>
        <w:tc>
          <w:tcPr>
            <w:tcW w:w="5954" w:type="dxa"/>
            <w:noWrap w:val="false"/>
            <w:textDirection w:val="lrTb"/>
          </w:tcPr>
          <w:p>
            <w:pPr>
              <w:spacing w:after="1" w:line="280" w:lineRule="atLeast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Условия, при которых полученные персональные данные могут передаваться оператором, осуществляющ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1" w:line="280" w:lineRule="atLeast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27" w:type="dxa"/>
            <w:noWrap w:val="false"/>
            <w:textDirection w:val="lrTb"/>
          </w:tcPr>
          <w:p>
            <w:pPr>
              <w:spacing w:after="1" w:line="28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заполняется по желанию субъекта персональных данных</w:t>
            </w:r>
            <w:r>
              <w:rPr>
                <w:rStyle w:val="1051"/>
                <w:rFonts w:ascii="Times New Roman" w:hAnsi="Times New Roman"/>
                <w:sz w:val="24"/>
                <w:szCs w:val="24"/>
              </w:rPr>
              <w:footnoteReference w:id="9"/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 случае выбора одного из вариантов – поставить галочку или иной знак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954" w:type="dxa"/>
            <w:noWrap w:val="false"/>
            <w:textDirection w:val="lrTb"/>
          </w:tcPr>
          <w:p>
            <w:pPr>
              <w:spacing w:after="1" w:line="280" w:lineRule="atLeast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не указано (условие не устанавливается);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1" w:line="280" w:lineRule="atLeast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27" w:type="dxa"/>
            <w:noWrap w:val="false"/>
            <w:textDirection w:val="lrTb"/>
          </w:tcPr>
          <w:p>
            <w:pPr>
              <w:spacing w:after="1" w:line="28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954" w:type="dxa"/>
            <w:noWrap w:val="false"/>
            <w:textDirection w:val="lrTb"/>
          </w:tcPr>
          <w:p>
            <w:pPr>
              <w:spacing w:after="1" w:line="280" w:lineRule="atLeast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только по внутренней сети (полученные персональные данные могут передаваться КСП только по внутренней сети, обеспечивающей доступ к информации лишь для строго определенных сотрудников);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1" w:line="280" w:lineRule="atLeast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27" w:type="dxa"/>
            <w:noWrap w:val="false"/>
            <w:textDirection w:val="lrTb"/>
          </w:tcPr>
          <w:p>
            <w:pPr>
              <w:spacing w:after="1" w:line="28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954" w:type="dxa"/>
            <w:noWrap w:val="false"/>
            <w:textDirection w:val="lrTb"/>
          </w:tcPr>
          <w:p>
            <w:pPr>
              <w:spacing w:after="1" w:line="280" w:lineRule="atLeast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использованием информационно-телекоммуникационных сетей (полученные персональные данные могут передаваться КСП с использованием информационно-телекоммуникационных сетей);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1" w:line="280" w:lineRule="atLeast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27" w:type="dxa"/>
            <w:noWrap w:val="false"/>
            <w:textDirection w:val="lrTb"/>
          </w:tcPr>
          <w:p>
            <w:pPr>
              <w:spacing w:after="1" w:line="28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954" w:type="dxa"/>
            <w:noWrap w:val="false"/>
            <w:textDirection w:val="lrTb"/>
          </w:tcPr>
          <w:p>
            <w:pPr>
              <w:spacing w:after="1" w:line="280" w:lineRule="atLeast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без передачи по сети (полученные персональные данные не могут передаваться КСП)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1" w:line="28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27" w:type="dxa"/>
            <w:noWrap w:val="false"/>
            <w:textDirection w:val="lrTb"/>
          </w:tcPr>
          <w:p>
            <w:pPr>
              <w:spacing w:after="1" w:line="28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обработки персональных данных – осуществление деятельности Контрольно-счетной палаты городского округа город Воронеж в соответствии с действующим законодательством</w:t>
      </w:r>
      <w:r>
        <w:rPr>
          <w:rStyle w:val="1051"/>
          <w:rFonts w:ascii="Times New Roman" w:hAnsi="Times New Roman"/>
          <w:sz w:val="28"/>
          <w:szCs w:val="28"/>
        </w:rPr>
        <w:footnoteReference w:id="10"/>
      </w:r>
      <w:r>
        <w:rPr>
          <w:rFonts w:ascii="Times New Roman" w:hAnsi="Times New Roman"/>
          <w:sz w:val="28"/>
          <w:szCs w:val="28"/>
        </w:rPr>
        <w:t xml:space="preserve"> и Положением</w:t>
      </w:r>
      <w:r>
        <w:rPr>
          <w:rStyle w:val="1051"/>
          <w:rFonts w:ascii="Times New Roman" w:hAnsi="Times New Roman"/>
          <w:sz w:val="28"/>
          <w:szCs w:val="28"/>
        </w:rPr>
        <w:footnoteReference w:id="11"/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Настоящее согласие действует: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10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firstLine="709"/>
        <w:jc w:val="both"/>
        <w:rPr>
          <w:rFonts w:ascii="Times New Roman" w:hAnsi="Times New Roman" w:cs="Times New Roman"/>
          <w:sz w:val="23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1) для лиц, включенных в кадровый резерв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КСП г. Воронежа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с даты подписания настоящего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согласия в течение всего периода нахождения в кадровом резерве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но не менее трех лет со дня завершения конкурса;</w:t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</w:p>
    <w:p>
      <w:pPr>
        <w:pStyle w:val="10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firstLine="709"/>
        <w:jc w:val="both"/>
        <w:rPr>
          <w:rFonts w:ascii="Times New Roman" w:hAnsi="Times New Roman" w:cs="Times New Roman"/>
          <w:sz w:val="23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2) для претендентов на включение в кадровый резерв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КСП г. Воронежа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не допущенных к участию в конкурсе, и кандидатов, участвовавших в конкурсах,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 даты подписания настоящего согласия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течение трех лет со дня завершения конкурса;</w:t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</w:p>
    <w:p>
      <w:pPr>
        <w:pStyle w:val="10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firstLine="709"/>
        <w:jc w:val="both"/>
        <w:rPr>
          <w:rFonts w:ascii="Times New Roman" w:hAnsi="Times New Roman" w:cs="Times New Roman"/>
          <w:sz w:val="23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3) согласие на обработку персональных данных может быть отозвано субъектом персональных данных и действует в таком случае </w:t>
      </w:r>
      <w:r>
        <w:rPr>
          <w:rFonts w:ascii="Times New Roman" w:hAnsi="Times New Roman"/>
          <w:sz w:val="28"/>
          <w:szCs w:val="28"/>
          <w:highlight w:val="none"/>
        </w:rPr>
        <w:t xml:space="preserve">до </w:t>
      </w:r>
      <w:r>
        <w:rPr>
          <w:rFonts w:ascii="Times New Roman" w:hAnsi="Times New Roman"/>
          <w:sz w:val="28"/>
          <w:szCs w:val="28"/>
          <w:highlight w:val="none"/>
        </w:rPr>
        <w:t xml:space="preserve">момента поступления </w:t>
      </w:r>
      <w:r>
        <w:rPr>
          <w:rFonts w:ascii="Times New Roman" w:hAnsi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/>
          <w:sz w:val="28"/>
          <w:szCs w:val="28"/>
          <w:highlight w:val="none"/>
        </w:rPr>
        <w:t xml:space="preserve">КСП в письменной форме требования</w:t>
      </w:r>
      <w:r>
        <w:rPr>
          <w:rFonts w:ascii="Times New Roman" w:hAnsi="Times New Roman"/>
          <w:sz w:val="28"/>
          <w:szCs w:val="28"/>
          <w:highlight w:val="none"/>
        </w:rPr>
        <w:t xml:space="preserve"> субъекта персональных данных</w:t>
      </w:r>
      <w:r>
        <w:rPr>
          <w:rFonts w:ascii="Times New Roman" w:hAnsi="Times New Roman"/>
          <w:sz w:val="28"/>
          <w:szCs w:val="28"/>
          <w:highlight w:val="none"/>
        </w:rPr>
        <w:t xml:space="preserve"> о прекращении</w:t>
      </w:r>
      <w:r>
        <w:rPr>
          <w:rStyle w:val="1051"/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Theme="minorHAnsi"/>
          <w:sz w:val="28"/>
          <w:szCs w:val="28"/>
          <w:highlight w:val="none"/>
        </w:rPr>
        <w:t xml:space="preserve">передачи (распространения, предоставления, доступа) персональных данных, </w:t>
      </w:r>
      <w:r>
        <w:rPr>
          <w:rFonts w:ascii="Times New Roman" w:hAnsi="Times New Roman" w:eastAsiaTheme="minorHAnsi"/>
          <w:sz w:val="28"/>
          <w:szCs w:val="28"/>
          <w:highlight w:val="none"/>
        </w:rPr>
        <w:t xml:space="preserve">ранее</w:t>
      </w:r>
      <w:r>
        <w:rPr>
          <w:rFonts w:ascii="Times New Roman" w:hAnsi="Times New Roman" w:eastAsiaTheme="minorHAnsi"/>
          <w:sz w:val="28"/>
          <w:szCs w:val="28"/>
          <w:highlight w:val="none"/>
        </w:rPr>
        <w:t xml:space="preserve"> разрешенных субъектом персональных данных для распространения</w:t>
      </w:r>
      <w:r>
        <w:rPr>
          <w:rStyle w:val="1051"/>
          <w:rFonts w:ascii="Times New Roman" w:hAnsi="Times New Roman"/>
          <w:sz w:val="28"/>
          <w:szCs w:val="28"/>
          <w:highlight w:val="none"/>
        </w:rPr>
        <w:footnoteReference w:id="12"/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</w:p>
    <w:p>
      <w:pPr>
        <w:pStyle w:val="10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firstLine="709"/>
        <w:jc w:val="both"/>
        <w:rPr>
          <w:rFonts w:ascii="Times New Roman" w:hAnsi="Times New Roman" w:cs="Times New Roman"/>
          <w:sz w:val="23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4) в случае отзыва согласия на обработку персональных данных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КСП г. Воронежа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вправе продолжить обработку персональных данных без согласия при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наличии оснований, указанных в пунктах 2 – 11 части 1 статьи 6, части 2 статьи 10 и части 2 статьи 11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Федерального закона от 27.07.2006 № 152-ФЗ «О персональных данных»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</w:p>
    <w:p>
      <w:pPr>
        <w:pStyle w:val="10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firstLine="709"/>
        <w:jc w:val="both"/>
        <w:rPr>
          <w:rFonts w:ascii="Times New Roman" w:hAnsi="Times New Roman" w:cs="Times New Roman"/>
          <w:sz w:val="23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5) после исключен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ия из кадрового резерва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КСП г. Воронежа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персональные данные хранятся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КСП г. Воронежа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течение срока хранения документов, предусмотренных действующим законодательством Российской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Федерации.</w:t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  <w:r>
        <w:rPr>
          <w:rFonts w:ascii="Times New Roman" w:hAnsi="Times New Roman" w:cs="Times New Roman"/>
          <w:sz w:val="23"/>
          <w:highlight w:val="none"/>
          <w14:ligatures w14:val="none"/>
        </w:rPr>
      </w:r>
    </w:p>
    <w:p>
      <w:pPr>
        <w:pStyle w:val="1053"/>
        <w:ind w:firstLine="709"/>
        <w:jc w:val="both"/>
        <w:rPr>
          <w:rFonts w:ascii="Times New Roman" w:hAnsi="Times New Roman"/>
          <w:highlight w:val="none"/>
        </w:rPr>
      </w:pPr>
      <w:r>
        <w:rPr>
          <w:rFonts w:ascii="Times New Roman" w:hAnsi="Times New Roman"/>
          <w:szCs w:val="28"/>
          <w:highlight w:val="none"/>
        </w:rPr>
        <w:t xml:space="preserve">Контрольно-счетная палата может осуществлять</w:t>
      </w:r>
      <w:r>
        <w:rPr>
          <w:rFonts w:ascii="Times New Roman" w:hAnsi="Times New Roman"/>
          <w:szCs w:val="28"/>
          <w:highlight w:val="none"/>
        </w:rPr>
        <w:t xml:space="preserve"> обработку </w:t>
      </w:r>
      <w:r>
        <w:rPr>
          <w:rFonts w:ascii="Times New Roman" w:hAnsi="Times New Roman"/>
          <w:szCs w:val="28"/>
          <w:highlight w:val="none"/>
        </w:rPr>
        <w:t xml:space="preserve">и распространение </w:t>
      </w:r>
      <w:r>
        <w:rPr>
          <w:rFonts w:ascii="Times New Roman" w:hAnsi="Times New Roman"/>
          <w:szCs w:val="28"/>
          <w:highlight w:val="none"/>
        </w:rPr>
        <w:t xml:space="preserve">моих персональных данных </w:t>
      </w:r>
      <w:r>
        <w:rPr>
          <w:rFonts w:ascii="Times New Roman" w:hAnsi="Times New Roman"/>
          <w:szCs w:val="28"/>
          <w:highlight w:val="none"/>
        </w:rPr>
        <w:t xml:space="preserve">в течение </w:t>
      </w:r>
      <w:r>
        <w:rPr>
          <w:rFonts w:ascii="Times New Roman" w:hAnsi="Times New Roman"/>
          <w:szCs w:val="28"/>
          <w:highlight w:val="none"/>
        </w:rPr>
        <w:t xml:space="preserve">срока </w:t>
      </w:r>
      <w:r>
        <w:rPr>
          <w:rFonts w:ascii="Times New Roman" w:hAnsi="Times New Roman"/>
          <w:szCs w:val="28"/>
          <w:highlight w:val="none"/>
        </w:rPr>
        <w:t xml:space="preserve">действия</w:t>
      </w:r>
      <w:r>
        <w:rPr>
          <w:rFonts w:ascii="Times New Roman" w:hAnsi="Times New Roman"/>
          <w:szCs w:val="28"/>
          <w:highlight w:val="none"/>
        </w:rPr>
        <w:t xml:space="preserve"> данного согласия</w:t>
      </w:r>
      <w:r>
        <w:rPr>
          <w:rStyle w:val="1051"/>
          <w:rFonts w:ascii="Times New Roman" w:hAnsi="Times New Roman"/>
          <w:szCs w:val="28"/>
          <w:highlight w:val="none"/>
        </w:rPr>
        <w:footnoteReference w:id="13"/>
      </w:r>
      <w:r>
        <w:rPr>
          <w:rFonts w:ascii="Times New Roman" w:hAnsi="Times New Roman"/>
          <w:szCs w:val="28"/>
          <w:highlight w:val="none"/>
        </w:rPr>
        <w:t xml:space="preserve">.</w:t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  <w:p>
      <w:pPr>
        <w:pStyle w:val="10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45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</w:t>
      </w:r>
      <w:r>
        <w:rPr>
          <w:rFonts w:ascii="Times New Roman" w:hAnsi="Times New Roman" w:cs="Times New Roman"/>
          <w:sz w:val="28"/>
          <w:szCs w:val="28"/>
        </w:rPr>
        <w:t xml:space="preserve"> / ____________________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5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(подпись)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(Ф.И.О.)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45"/>
        <w:jc w:val="both"/>
        <w:rPr>
          <w:sz w:val="22"/>
          <w:szCs w:val="22"/>
        </w:rPr>
      </w:pPr>
      <w:r>
        <w:rPr>
          <w:sz w:val="22"/>
          <w:highlight w:val="none"/>
        </w:rPr>
      </w:r>
      <w:r>
        <w:rPr>
          <w:sz w:val="22"/>
          <w:highlight w:val="none"/>
        </w:rPr>
      </w:r>
    </w:p>
    <w:p>
      <w:pPr>
        <w:pStyle w:val="1045"/>
        <w:jc w:val="both"/>
        <w:rPr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_»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P123"/>
      <w:bookmarkStart w:id="2" w:name="P124"/>
      <w:bookmarkStart w:id="3" w:name="P125"/>
      <w:bookmarkEnd w:id="1"/>
      <w:bookmarkEnd w:id="2"/>
      <w:bookmarkEnd w:id="3"/>
      <w:r>
        <w:rPr>
          <w:sz w:val="22"/>
        </w:rPr>
      </w:r>
      <w:r>
        <w:rPr>
          <w:sz w:val="22"/>
          <w:szCs w:val="22"/>
          <w:highlight w:val="none"/>
        </w:rPr>
      </w:r>
    </w:p>
    <w:p>
      <w:pPr>
        <w:pStyle w:val="10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(дата)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choolBook">
    <w:panose1 w:val="02000603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2">
    <w:p>
      <w:pPr>
        <w:pStyle w:val="1045"/>
        <w:jc w:val="both"/>
        <w:rPr>
          <w:rFonts w:ascii="Times New Roman" w:hAnsi="Times New Roman" w:cs="Times New Roman"/>
          <w:szCs w:val="20"/>
        </w:rPr>
      </w:pPr>
      <w:r>
        <w:rPr>
          <w:rStyle w:val="1051"/>
          <w:rFonts w:ascii="Times New Roman" w:hAnsi="Times New Roman" w:cs="Times New Roman"/>
          <w:szCs w:val="20"/>
        </w:rPr>
        <w:footnoteRef/>
      </w:r>
      <w:r>
        <w:rPr>
          <w:rFonts w:ascii="Times New Roman" w:hAnsi="Times New Roman" w:cs="Times New Roman"/>
          <w:szCs w:val="20"/>
        </w:rPr>
        <w:t xml:space="preserve"> Согласно </w:t>
      </w:r>
      <w:hyperlink r:id="rId1" w:tooltip="consultantplus://offline/ref=DFDF09D5CFE70E1C741C1C9167F31A8A39B55FBD20392B373471E83DB7B31F890334898B4F6151E43A62B90AE175641D318704943DBBE2D8q4j3L" w:history="1">
        <w:r>
          <w:rPr>
            <w:rFonts w:ascii="Times New Roman" w:hAnsi="Times New Roman" w:cs="Times New Roman"/>
            <w:szCs w:val="20"/>
          </w:rPr>
          <w:t xml:space="preserve">п. 3 ст. 3</w:t>
        </w:r>
      </w:hyperlink>
      <w:r>
        <w:rPr>
          <w:rFonts w:ascii="Times New Roman" w:hAnsi="Times New Roman" w:cs="Times New Roman"/>
          <w:szCs w:val="20"/>
        </w:rPr>
        <w:t xml:space="preserve"> Федерального закона от 27.07.2006 </w:t>
      </w:r>
      <w:r>
        <w:rPr>
          <w:rFonts w:ascii="Times New Roman" w:hAnsi="Times New Roman" w:cs="Times New Roman"/>
          <w:szCs w:val="20"/>
        </w:rPr>
        <w:t xml:space="preserve">№</w:t>
      </w:r>
      <w:r>
        <w:rPr>
          <w:rFonts w:ascii="Times New Roman" w:hAnsi="Times New Roman" w:cs="Times New Roman"/>
          <w:szCs w:val="20"/>
        </w:rPr>
        <w:t xml:space="preserve"> 152-ФЗ </w:t>
      </w:r>
      <w:r>
        <w:rPr>
          <w:rFonts w:ascii="Times New Roman" w:hAnsi="Times New Roman" w:cs="Times New Roman"/>
          <w:szCs w:val="20"/>
        </w:rPr>
        <w:t xml:space="preserve">«</w:t>
      </w:r>
      <w:r>
        <w:rPr>
          <w:rFonts w:ascii="Times New Roman" w:hAnsi="Times New Roman" w:cs="Times New Roman"/>
          <w:szCs w:val="20"/>
        </w:rPr>
        <w:t xml:space="preserve">О персональных данных</w:t>
      </w:r>
      <w:r>
        <w:rPr>
          <w:rFonts w:ascii="Times New Roman" w:hAnsi="Times New Roman" w:cs="Times New Roman"/>
          <w:szCs w:val="20"/>
        </w:rPr>
        <w:t xml:space="preserve">»</w:t>
      </w:r>
      <w:r>
        <w:rPr>
          <w:rFonts w:ascii="Times New Roman" w:hAnsi="Times New Roman" w:cs="Times New Roman"/>
          <w:szCs w:val="20"/>
        </w:rPr>
        <w:t xml:space="preserve">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</w:t>
      </w:r>
      <w:r>
        <w:rPr>
          <w:rFonts w:ascii="Times New Roman" w:hAnsi="Times New Roman" w:cs="Times New Roman"/>
          <w:szCs w:val="20"/>
        </w:rPr>
        <w:t xml:space="preserve">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</w:p>
  </w:footnote>
  <w:footnote w:id="3">
    <w:p>
      <w:pPr>
        <w:pStyle w:val="1045"/>
        <w:jc w:val="both"/>
        <w:rPr>
          <w:rFonts w:ascii="Times New Roman" w:hAnsi="Times New Roman" w:cs="Times New Roman"/>
          <w:szCs w:val="20"/>
        </w:rPr>
      </w:pPr>
      <w:r>
        <w:rPr>
          <w:rStyle w:val="1051"/>
          <w:rFonts w:ascii="Times New Roman" w:hAnsi="Times New Roman" w:cs="Times New Roman"/>
          <w:szCs w:val="20"/>
        </w:rPr>
        <w:footnoteRef/>
      </w:r>
      <w:r>
        <w:rPr>
          <w:rFonts w:ascii="Times New Roman" w:hAnsi="Times New Roman" w:cs="Times New Roman"/>
          <w:szCs w:val="20"/>
        </w:rPr>
        <w:t xml:space="preserve"> Согласно </w:t>
      </w:r>
      <w:hyperlink r:id="rId2" w:tooltip="consultantplus://offline/ref=DFDF09D5CFE70E1C741C1C9167F31A8A39B55FBD20392B373471E83DB7B31F890334898B4F6151E43462B90AE175641D318704943DBBE2D8q4j3L" w:history="1">
        <w:r>
          <w:rPr>
            <w:rFonts w:ascii="Times New Roman" w:hAnsi="Times New Roman" w:cs="Times New Roman"/>
            <w:szCs w:val="20"/>
          </w:rPr>
          <w:t xml:space="preserve">п. 1 ст. 3</w:t>
        </w:r>
      </w:hyperlink>
      <w:r>
        <w:rPr>
          <w:rFonts w:ascii="Times New Roman" w:hAnsi="Times New Roman" w:cs="Times New Roman"/>
          <w:szCs w:val="20"/>
        </w:rPr>
        <w:t xml:space="preserve"> Федерального закона от 27.07.2006 </w:t>
      </w:r>
      <w:r>
        <w:rPr>
          <w:rFonts w:ascii="Times New Roman" w:hAnsi="Times New Roman" w:cs="Times New Roman"/>
          <w:szCs w:val="20"/>
        </w:rPr>
        <w:t xml:space="preserve">№</w:t>
      </w:r>
      <w:r>
        <w:rPr>
          <w:rFonts w:ascii="Times New Roman" w:hAnsi="Times New Roman" w:cs="Times New Roman"/>
          <w:szCs w:val="20"/>
        </w:rPr>
        <w:t xml:space="preserve"> 152-ФЗ </w:t>
      </w:r>
      <w:r>
        <w:rPr>
          <w:rFonts w:ascii="Times New Roman" w:hAnsi="Times New Roman" w:cs="Times New Roman"/>
          <w:szCs w:val="20"/>
        </w:rPr>
        <w:t xml:space="preserve">«</w:t>
      </w:r>
      <w:r>
        <w:rPr>
          <w:rFonts w:ascii="Times New Roman" w:hAnsi="Times New Roman" w:cs="Times New Roman"/>
          <w:szCs w:val="20"/>
        </w:rPr>
        <w:t xml:space="preserve">О персональных данных</w:t>
      </w:r>
      <w:r>
        <w:rPr>
          <w:rFonts w:ascii="Times New Roman" w:hAnsi="Times New Roman" w:cs="Times New Roman"/>
          <w:szCs w:val="20"/>
        </w:rPr>
        <w:t xml:space="preserve">»</w:t>
      </w:r>
      <w:r>
        <w:rPr>
          <w:rFonts w:ascii="Times New Roman" w:hAnsi="Times New Roman" w:cs="Times New Roman"/>
          <w:szCs w:val="20"/>
        </w:rPr>
        <w:t xml:space="preserve">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</w:p>
  </w:footnote>
  <w:footnote w:id="4">
    <w:p>
      <w:pPr>
        <w:pStyle w:val="1049"/>
        <w:jc w:val="both"/>
        <w:rPr>
          <w:rFonts w:ascii="Times New Roman" w:hAnsi="Times New Roman"/>
        </w:rPr>
      </w:pPr>
      <w:r>
        <w:rPr>
          <w:rStyle w:val="105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Согласно </w:t>
      </w:r>
      <w:hyperlink r:id="rId3" w:tooltip="consultantplus://offline/ref=DFDF09D5CFE70E1C741C1C9167F31A8A39B55FBD20392B373471E83DB7B31F890334898B4F6151E33262B90AE175641D318704943DBBE2D8q4j3L" w:history="1">
        <w:r>
          <w:rPr>
            <w:rFonts w:ascii="Times New Roman" w:hAnsi="Times New Roman"/>
          </w:rPr>
          <w:t xml:space="preserve">п. 5 ст. 3</w:t>
        </w:r>
      </w:hyperlink>
      <w:r>
        <w:rPr>
          <w:rFonts w:ascii="Times New Roman" w:hAnsi="Times New Roman"/>
        </w:rPr>
        <w:t xml:space="preserve"> Федерального закона от 27.07.2006 </w:t>
      </w:r>
      <w:r>
        <w:rPr>
          <w:rFonts w:ascii="Times New Roman" w:hAnsi="Times New Roman"/>
        </w:rPr>
        <w:t xml:space="preserve">№</w:t>
      </w:r>
      <w:r>
        <w:rPr>
          <w:rFonts w:ascii="Times New Roman" w:hAnsi="Times New Roman"/>
        </w:rPr>
        <w:t xml:space="preserve"> 152-ФЗ </w:t>
      </w:r>
      <w:r>
        <w:rPr>
          <w:rFonts w:ascii="Times New Roman" w:hAnsi="Times New Roman"/>
        </w:rPr>
        <w:t xml:space="preserve">«</w:t>
      </w:r>
      <w:r>
        <w:rPr>
          <w:rFonts w:ascii="Times New Roman" w:hAnsi="Times New Roman"/>
        </w:rPr>
        <w:t xml:space="preserve">О персональных данных</w:t>
      </w:r>
      <w:r>
        <w:rPr>
          <w:rFonts w:ascii="Times New Roman" w:hAnsi="Times New Roman"/>
        </w:rPr>
        <w:t xml:space="preserve">»</w:t>
      </w:r>
      <w:r>
        <w:rPr>
          <w:rFonts w:ascii="Times New Roman" w:hAnsi="Times New Roman"/>
        </w:rPr>
        <w:t xml:space="preserve"> распространение персональных данных - действия, направленные на раскрытие персональных данных неопределенному кругу лиц.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5">
    <w:p>
      <w:pPr>
        <w:pStyle w:val="1049"/>
        <w:rPr>
          <w:rFonts w:ascii="Times New Roman" w:hAnsi="Times New Roman"/>
        </w:rPr>
      </w:pPr>
      <w:r>
        <w:rPr>
          <w:rStyle w:val="105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Специальные категории персональных данных, перечисленные в ст. 10 Федерального закона от 27.07.2006 № 152-ФЗ «О персональных данных» КСП не обрабатываются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6">
    <w:p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1051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Согласно ч. 9 ст. 10.1 Федерального закона от 27.07.2006 № 152-ФЗ «О персональных данных»: «</w:t>
      </w:r>
      <w:r>
        <w:rPr>
          <w:rFonts w:ascii="Times New Roman" w:hAnsi="Times New Roman" w:eastAsiaTheme="minorHAnsi"/>
          <w:sz w:val="20"/>
          <w:szCs w:val="20"/>
        </w:rPr>
        <w:t xml:space="preserve">В согласии на обработку персональных данных, разрешенных субъектом персональных данных для распространения, субъект персональных данных вправе</w:t>
      </w:r>
      <w:r>
        <w:rPr>
          <w:rFonts w:ascii="Times New Roman" w:hAnsi="Times New Roman" w:eastAsiaTheme="minorHAnsi"/>
          <w:sz w:val="20"/>
          <w:szCs w:val="20"/>
        </w:rPr>
        <w:t xml:space="preserve"> установить запреты на передачу (кроме предоставления доступа) этих персональных данных оператором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лиц». 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</w:footnote>
  <w:footnote w:id="7">
    <w:p>
      <w:pPr>
        <w:pStyle w:val="1049"/>
        <w:rPr>
          <w:rFonts w:ascii="Times New Roman" w:hAnsi="Times New Roman"/>
        </w:rPr>
      </w:pPr>
      <w:r>
        <w:rPr>
          <w:rStyle w:val="105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Согласно ч. 9 ст. 10.1 Федерального закона от 27.07.2006 № 152-ФЗ «О персональных данных»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8">
    <w:p>
      <w:pPr>
        <w:pStyle w:val="1049"/>
        <w:jc w:val="both"/>
        <w:rPr>
          <w:rFonts w:ascii="Times New Roman" w:hAnsi="Times New Roman"/>
        </w:rPr>
      </w:pPr>
      <w:r>
        <w:rPr>
          <w:rStyle w:val="105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 выбора значения «не запрещено с условиями» необходимо </w:t>
      </w:r>
      <w:r>
        <w:rPr>
          <w:rFonts w:ascii="Times New Roman" w:hAnsi="Times New Roman"/>
        </w:rPr>
        <w:t xml:space="preserve">отобразить  «</w:t>
      </w:r>
      <w:r>
        <w:rPr>
          <w:rFonts w:ascii="Times New Roman" w:hAnsi="Times New Roman"/>
        </w:rPr>
        <w:t xml:space="preserve">запрещаемые действия», выбрав следующие значения: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предоставление), обезличивание, блокирование.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9">
    <w:p>
      <w:pPr>
        <w:spacing w:after="0" w:line="240" w:lineRule="auto"/>
        <w:jc w:val="both"/>
        <w:rPr>
          <w:rFonts w:ascii="Times New Roman" w:hAnsi="Times New Roman" w:eastAsiaTheme="minorHAnsi"/>
          <w:sz w:val="20"/>
          <w:szCs w:val="20"/>
        </w:rPr>
      </w:pPr>
      <w:r>
        <w:rPr>
          <w:rStyle w:val="1051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eastAsiaTheme="minorHAnsi"/>
          <w:sz w:val="20"/>
          <w:szCs w:val="20"/>
        </w:rPr>
        <w:t xml:space="preserve">Часть 9 статьи 10.1 Федерального закона от 27</w:t>
      </w:r>
      <w:r>
        <w:rPr>
          <w:rFonts w:ascii="Times New Roman" w:hAnsi="Times New Roman" w:eastAsiaTheme="minorHAnsi"/>
          <w:sz w:val="20"/>
          <w:szCs w:val="20"/>
        </w:rPr>
        <w:t xml:space="preserve">.07.</w:t>
      </w:r>
      <w:r>
        <w:rPr>
          <w:rFonts w:ascii="Times New Roman" w:hAnsi="Times New Roman" w:eastAsiaTheme="minorHAnsi"/>
          <w:sz w:val="20"/>
          <w:szCs w:val="20"/>
        </w:rPr>
        <w:t xml:space="preserve"> 2006 № 152-ФЗ </w:t>
      </w:r>
      <w:r>
        <w:rPr>
          <w:rFonts w:ascii="Times New Roman" w:hAnsi="Times New Roman" w:eastAsiaTheme="minorHAnsi"/>
          <w:sz w:val="20"/>
          <w:szCs w:val="20"/>
        </w:rPr>
        <w:t xml:space="preserve">«</w:t>
      </w:r>
      <w:r>
        <w:rPr>
          <w:rFonts w:ascii="Times New Roman" w:hAnsi="Times New Roman" w:eastAsiaTheme="minorHAnsi"/>
          <w:sz w:val="20"/>
          <w:szCs w:val="20"/>
        </w:rPr>
        <w:t xml:space="preserve">О персональных данных</w:t>
      </w:r>
      <w:r>
        <w:rPr>
          <w:rFonts w:ascii="Times New Roman" w:hAnsi="Times New Roman" w:eastAsiaTheme="minorHAnsi"/>
          <w:sz w:val="20"/>
          <w:szCs w:val="20"/>
        </w:rPr>
        <w:t xml:space="preserve">»</w:t>
      </w:r>
      <w:r>
        <w:rPr>
          <w:rFonts w:ascii="Times New Roman" w:hAnsi="Times New Roman" w:eastAsiaTheme="minorHAnsi"/>
          <w:sz w:val="20"/>
          <w:szCs w:val="20"/>
        </w:rPr>
      </w:r>
      <w:r>
        <w:rPr>
          <w:rFonts w:ascii="Times New Roman" w:hAnsi="Times New Roman" w:eastAsiaTheme="minorHAnsi"/>
          <w:sz w:val="20"/>
          <w:szCs w:val="20"/>
        </w:rPr>
      </w:r>
      <w:r>
        <w:rPr>
          <w:rFonts w:ascii="Times New Roman" w:hAnsi="Times New Roman" w:eastAsiaTheme="minorHAnsi"/>
          <w:sz w:val="20"/>
          <w:szCs w:val="20"/>
        </w:rPr>
      </w:r>
    </w:p>
  </w:footnote>
  <w:footnote w:id="10">
    <w:p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1051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eastAsiaTheme="minorHAnsi"/>
          <w:sz w:val="20"/>
          <w:szCs w:val="20"/>
        </w:rPr>
        <w:t xml:space="preserve">Федеральный закон от 07.02.2011 </w:t>
      </w:r>
      <w:r>
        <w:rPr>
          <w:rFonts w:ascii="Times New Roman" w:hAnsi="Times New Roman" w:eastAsiaTheme="minorHAnsi"/>
          <w:sz w:val="20"/>
          <w:szCs w:val="20"/>
        </w:rPr>
        <w:t xml:space="preserve">№</w:t>
      </w:r>
      <w:r>
        <w:rPr>
          <w:rFonts w:ascii="Times New Roman" w:hAnsi="Times New Roman" w:eastAsiaTheme="minorHAnsi"/>
          <w:sz w:val="20"/>
          <w:szCs w:val="20"/>
        </w:rPr>
        <w:t xml:space="preserve">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rPr>
          <w:rFonts w:ascii="Times New Roman" w:hAnsi="Times New Roman" w:eastAsiaTheme="minorHAnsi"/>
          <w:sz w:val="20"/>
          <w:szCs w:val="20"/>
        </w:rPr>
        <w:t xml:space="preserve"> (ст. 19), Федеральный </w:t>
      </w:r>
      <w:r>
        <w:rPr>
          <w:rFonts w:ascii="Times New Roman" w:hAnsi="Times New Roman" w:eastAsiaTheme="minorHAnsi"/>
          <w:sz w:val="20"/>
          <w:szCs w:val="20"/>
        </w:rPr>
        <w:t xml:space="preserve">закон от 09.02.2009 № 8-ФЗ «Об обеспечении доступа к информации о деятельности государственных </w:t>
      </w:r>
      <w:r>
        <w:rPr>
          <w:rFonts w:ascii="Times New Roman" w:hAnsi="Times New Roman" w:eastAsiaTheme="minorHAnsi"/>
          <w:sz w:val="20"/>
          <w:szCs w:val="20"/>
        </w:rPr>
        <w:t xml:space="preserve">органов и органов местного самоуправления» и др.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</w:footnote>
  <w:footnote w:id="11">
    <w:p>
      <w:pPr>
        <w:pStyle w:val="1049"/>
        <w:jc w:val="both"/>
        <w:rPr>
          <w:rFonts w:ascii="Times New Roman" w:hAnsi="Times New Roman"/>
        </w:rPr>
      </w:pPr>
      <w:r>
        <w:rPr>
          <w:rStyle w:val="105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ru-RU"/>
        </w:rPr>
        <w:t xml:space="preserve">Решение Воронежской городской Думы от 16.11.2011 № 642-III «Об утверждении Положения о Контрольно-счетной палате городского округа город Воронеж»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12">
    <w:p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1051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 w:eastAsiaTheme="minorHAnsi"/>
          <w:sz w:val="20"/>
          <w:szCs w:val="20"/>
        </w:rPr>
        <w:t xml:space="preserve">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</w:t>
      </w:r>
      <w:r>
        <w:rPr>
          <w:rFonts w:ascii="Times New Roman" w:hAnsi="Times New Roman" w:eastAsiaTheme="minorHAnsi"/>
          <w:sz w:val="20"/>
          <w:szCs w:val="20"/>
        </w:rPr>
        <w:t xml:space="preserve">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</w:t>
      </w:r>
      <w:r>
        <w:rPr>
          <w:rFonts w:ascii="Times New Roman" w:hAnsi="Times New Roman" w:eastAsiaTheme="minorHAnsi"/>
          <w:sz w:val="20"/>
          <w:szCs w:val="20"/>
        </w:rPr>
        <w:t xml:space="preserve">р</w:t>
      </w:r>
      <w:r>
        <w:rPr>
          <w:rFonts w:ascii="Times New Roman" w:hAnsi="Times New Roman" w:eastAsiaTheme="minorHAnsi"/>
          <w:sz w:val="20"/>
          <w:szCs w:val="20"/>
        </w:rPr>
        <w:t xml:space="preserve">аботка которых подлежит прекращению (ч. 12 ст. </w:t>
      </w:r>
      <w:r>
        <w:rPr>
          <w:rFonts w:ascii="Times New Roman" w:hAnsi="Times New Roman" w:eastAsiaTheme="minorHAnsi"/>
          <w:sz w:val="20"/>
          <w:szCs w:val="20"/>
        </w:rPr>
        <w:t xml:space="preserve">10.1 .</w:t>
      </w:r>
      <w:r>
        <w:rPr>
          <w:rFonts w:ascii="Times New Roman" w:hAnsi="Times New Roman" w:eastAsiaTheme="minorHAnsi"/>
          <w:sz w:val="20"/>
          <w:szCs w:val="20"/>
        </w:rPr>
        <w:t xml:space="preserve"> Федерального закона от 27.07. 2006 № 152-ФЗ)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</w:footnote>
  <w:footnote w:id="13">
    <w:p>
      <w:pPr>
        <w:spacing w:after="0" w:line="240" w:lineRule="auto"/>
        <w:jc w:val="both"/>
      </w:pPr>
      <w:r>
        <w:rPr>
          <w:rStyle w:val="1051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В соответствии с </w:t>
      </w:r>
      <w:r>
        <w:rPr>
          <w:rFonts w:ascii="Times New Roman" w:hAnsi="Times New Roman"/>
          <w:sz w:val="20"/>
          <w:szCs w:val="20"/>
        </w:rPr>
        <w:t xml:space="preserve">ч. 11 ст. 10.1 </w:t>
      </w:r>
      <w:r>
        <w:rPr>
          <w:rFonts w:ascii="Times New Roman" w:hAnsi="Times New Roman" w:eastAsiaTheme="minorHAnsi"/>
          <w:sz w:val="20"/>
          <w:szCs w:val="20"/>
        </w:rPr>
        <w:t xml:space="preserve">Федерального закона от 27.07. 2006 № 152-ФЗ «О персональных данных» у</w:t>
      </w:r>
      <w:r>
        <w:rPr>
          <w:rFonts w:ascii="Times New Roman" w:hAnsi="Times New Roman" w:eastAsiaTheme="minorHAnsi"/>
          <w:sz w:val="20"/>
          <w:szCs w:val="20"/>
        </w:rPr>
        <w:t xml:space="preserve">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</w:t>
      </w:r>
      <w:r>
        <w:rPr>
          <w:rFonts w:ascii="Times New Roman" w:hAnsi="Times New Roman" w:eastAsiaTheme="minorHAnsi"/>
          <w:sz w:val="20"/>
          <w:szCs w:val="20"/>
        </w:rPr>
        <w:t xml:space="preserve">персональных данных, разрешенных субъектом персональных данных для распространения, 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Федерации.</w:t>
      </w:r>
      <w:r>
        <w:rPr>
          <w:rFonts w:ascii="Times New Roman" w:hAnsi="Times New Roman" w:eastAsiaTheme="minorHAnsi"/>
          <w:sz w:val="20"/>
          <w:szCs w:val="20"/>
        </w:rPr>
        <w:t xml:space="preserve"> Требования с. 10.1 Федерального закона от 27.07. 2006 № 152-ФЗ не при</w:t>
      </w:r>
      <w:r>
        <w:rPr>
          <w:rFonts w:ascii="Times New Roman" w:hAnsi="Times New Roman" w:eastAsiaTheme="minorHAnsi"/>
          <w:sz w:val="20"/>
          <w:szCs w:val="20"/>
        </w:rPr>
        <w:t xml:space="preserve">меняются в случае обработки персональных данных в целях выполнения возложенных законодательством Российской Федерации на государственные органы, муниципальные органы, а также на подведомственные таким органам организации функций, полномочий и обязанностей.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67">
    <w:name w:val="Heading 1"/>
    <w:basedOn w:val="1041"/>
    <w:next w:val="1041"/>
    <w:link w:val="868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868">
    <w:name w:val="Heading 1 Char"/>
    <w:basedOn w:val="1042"/>
    <w:link w:val="86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869">
    <w:name w:val="Heading 2"/>
    <w:basedOn w:val="1041"/>
    <w:next w:val="1041"/>
    <w:link w:val="870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870">
    <w:name w:val="Heading 2 Char"/>
    <w:basedOn w:val="1042"/>
    <w:link w:val="869"/>
    <w:uiPriority w:val="9"/>
    <w:rPr>
      <w:rFonts w:ascii="Liberation Sans" w:hAnsi="Liberation Sans" w:eastAsia="Liberation Sans" w:cs="Liberation Sans"/>
      <w:sz w:val="34"/>
    </w:rPr>
  </w:style>
  <w:style w:type="paragraph" w:styleId="871">
    <w:name w:val="Heading 3"/>
    <w:basedOn w:val="1041"/>
    <w:next w:val="1041"/>
    <w:link w:val="872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872">
    <w:name w:val="Heading 3 Char"/>
    <w:basedOn w:val="1042"/>
    <w:link w:val="87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873">
    <w:name w:val="Heading 4"/>
    <w:basedOn w:val="1041"/>
    <w:next w:val="1041"/>
    <w:link w:val="874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74">
    <w:name w:val="Heading 4 Char"/>
    <w:basedOn w:val="1042"/>
    <w:link w:val="87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875">
    <w:name w:val="Heading 5"/>
    <w:basedOn w:val="1041"/>
    <w:next w:val="1041"/>
    <w:link w:val="876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76">
    <w:name w:val="Heading 5 Char"/>
    <w:basedOn w:val="1042"/>
    <w:link w:val="87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77">
    <w:name w:val="Heading 6"/>
    <w:basedOn w:val="1041"/>
    <w:next w:val="1041"/>
    <w:link w:val="878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78">
    <w:name w:val="Heading 6 Char"/>
    <w:basedOn w:val="1042"/>
    <w:link w:val="87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79">
    <w:name w:val="Heading 7"/>
    <w:basedOn w:val="1041"/>
    <w:next w:val="1041"/>
    <w:link w:val="880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80">
    <w:name w:val="Heading 7 Char"/>
    <w:basedOn w:val="1042"/>
    <w:link w:val="87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81">
    <w:name w:val="Heading 8"/>
    <w:basedOn w:val="1041"/>
    <w:next w:val="1041"/>
    <w:link w:val="882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82">
    <w:name w:val="Heading 8 Char"/>
    <w:basedOn w:val="1042"/>
    <w:link w:val="88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83">
    <w:name w:val="Heading 9"/>
    <w:basedOn w:val="1041"/>
    <w:next w:val="1041"/>
    <w:link w:val="884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84">
    <w:name w:val="Heading 9 Char"/>
    <w:basedOn w:val="1042"/>
    <w:link w:val="88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85">
    <w:name w:val="List Paragraph"/>
    <w:basedOn w:val="1041"/>
    <w:uiPriority w:val="34"/>
    <w:qFormat/>
    <w:pPr>
      <w:ind w:left="720"/>
      <w:contextualSpacing/>
    </w:pPr>
  </w:style>
  <w:style w:type="paragraph" w:styleId="886">
    <w:name w:val="No Spacing"/>
    <w:uiPriority w:val="1"/>
    <w:qFormat/>
    <w:pPr>
      <w:spacing w:before="0" w:after="0" w:line="240" w:lineRule="auto"/>
    </w:pPr>
  </w:style>
  <w:style w:type="paragraph" w:styleId="887">
    <w:name w:val="Title"/>
    <w:basedOn w:val="1041"/>
    <w:next w:val="1041"/>
    <w:link w:val="888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888">
    <w:name w:val="Title Char"/>
    <w:basedOn w:val="1042"/>
    <w:link w:val="887"/>
    <w:uiPriority w:val="10"/>
    <w:rPr>
      <w:sz w:val="48"/>
      <w:szCs w:val="48"/>
    </w:rPr>
  </w:style>
  <w:style w:type="paragraph" w:styleId="889">
    <w:name w:val="Subtitle"/>
    <w:basedOn w:val="1041"/>
    <w:next w:val="1041"/>
    <w:link w:val="890"/>
    <w:uiPriority w:val="11"/>
    <w:qFormat/>
    <w:pPr>
      <w:spacing w:before="200" w:after="200"/>
    </w:pPr>
    <w:rPr>
      <w:sz w:val="24"/>
      <w:szCs w:val="24"/>
    </w:rPr>
  </w:style>
  <w:style w:type="character" w:styleId="890">
    <w:name w:val="Subtitle Char"/>
    <w:basedOn w:val="1042"/>
    <w:link w:val="889"/>
    <w:uiPriority w:val="11"/>
    <w:rPr>
      <w:sz w:val="24"/>
      <w:szCs w:val="24"/>
    </w:rPr>
  </w:style>
  <w:style w:type="paragraph" w:styleId="891">
    <w:name w:val="Quote"/>
    <w:basedOn w:val="1041"/>
    <w:next w:val="1041"/>
    <w:link w:val="892"/>
    <w:uiPriority w:val="29"/>
    <w:qFormat/>
    <w:pPr>
      <w:ind w:left="720" w:right="720"/>
    </w:pPr>
    <w:rPr>
      <w:i/>
    </w:rPr>
  </w:style>
  <w:style w:type="character" w:styleId="892">
    <w:name w:val="Quote Char"/>
    <w:link w:val="891"/>
    <w:uiPriority w:val="29"/>
    <w:rPr>
      <w:i/>
    </w:rPr>
  </w:style>
  <w:style w:type="paragraph" w:styleId="893">
    <w:name w:val="Intense Quote"/>
    <w:basedOn w:val="1041"/>
    <w:next w:val="1041"/>
    <w:link w:val="89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894">
    <w:name w:val="Intense Quote Char"/>
    <w:link w:val="893"/>
    <w:uiPriority w:val="30"/>
    <w:rPr>
      <w:i/>
    </w:rPr>
  </w:style>
  <w:style w:type="paragraph" w:styleId="895">
    <w:name w:val="Header"/>
    <w:basedOn w:val="1041"/>
    <w:link w:val="89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896">
    <w:name w:val="Header Char"/>
    <w:basedOn w:val="1042"/>
    <w:link w:val="895"/>
    <w:uiPriority w:val="99"/>
  </w:style>
  <w:style w:type="paragraph" w:styleId="897">
    <w:name w:val="Footer"/>
    <w:basedOn w:val="1041"/>
    <w:link w:val="898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898">
    <w:name w:val="Footer Char"/>
    <w:basedOn w:val="1042"/>
    <w:link w:val="897"/>
    <w:uiPriority w:val="99"/>
  </w:style>
  <w:style w:type="paragraph" w:styleId="899">
    <w:name w:val="Caption"/>
    <w:basedOn w:val="1041"/>
    <w:next w:val="1041"/>
    <w:link w:val="9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00">
    <w:name w:val="Caption Char"/>
    <w:basedOn w:val="1042"/>
    <w:link w:val="899"/>
    <w:uiPriority w:val="35"/>
    <w:rPr>
      <w:b/>
      <w:bCs/>
      <w:color w:val="4f81bd" w:themeColor="accent1"/>
      <w:sz w:val="18"/>
      <w:szCs w:val="18"/>
    </w:rPr>
  </w:style>
  <w:style w:type="table" w:styleId="901">
    <w:name w:val="Table Grid Light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2">
    <w:name w:val="Plain Table 1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3">
    <w:name w:val="Plain Table 2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4">
    <w:name w:val="Plain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5">
    <w:name w:val="Plain Table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Plain Table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07">
    <w:name w:val="Grid Table 1 Light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Grid Table 1 Light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1 Light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1 Light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Grid Table 1 Light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Grid Table 1 Light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15">
    <w:name w:val="Grid Table 2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16">
    <w:name w:val="Grid Table 2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17">
    <w:name w:val="Grid Table 2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18">
    <w:name w:val="Grid Table 2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19">
    <w:name w:val="Grid Table 2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0">
    <w:name w:val="Grid Table 2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1">
    <w:name w:val="Grid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2">
    <w:name w:val="Grid Table 3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3">
    <w:name w:val="Grid Table 3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4">
    <w:name w:val="Grid Table 3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5">
    <w:name w:val="Grid Table 3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6">
    <w:name w:val="Grid Table 3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7">
    <w:name w:val="Grid Table 3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928">
    <w:name w:val="Grid Table 4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9">
    <w:name w:val="Grid Table 4 - Accent 1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0">
    <w:name w:val="Grid Table 4 - Accent 2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1">
    <w:name w:val="Grid Table 4 - Accent 3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2">
    <w:name w:val="Grid Table 4 - Accent 4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3">
    <w:name w:val="Grid Table 4 - Accent 5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4">
    <w:name w:val="Grid Table 4 - Accent 6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5">
    <w:name w:val="Grid Table 5 Dark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936">
    <w:name w:val="Grid Table 5 Dark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937">
    <w:name w:val="Grid Table 5 Dark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938">
    <w:name w:val="Grid Table 5 Dark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939">
    <w:name w:val="Grid Table 5 Dark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940">
    <w:name w:val="Grid Table 5 Dark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941">
    <w:name w:val="Grid Table 5 Dark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42">
    <w:name w:val="Grid Table 6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43">
    <w:name w:val="Grid Table 6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4">
    <w:name w:val="Grid Table 6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5">
    <w:name w:val="Grid Table 6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46">
    <w:name w:val="Grid Table 6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47">
    <w:name w:val="Grid Table 6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48">
    <w:name w:val="Grid Table 6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49">
    <w:name w:val="Grid Table 7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50">
    <w:name w:val="Grid Table 7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51">
    <w:name w:val="Grid Table 7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52">
    <w:name w:val="Grid Table 7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53">
    <w:name w:val="Grid Table 7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54">
    <w:name w:val="Grid Table 7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55">
    <w:name w:val="Grid Table 7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56">
    <w:name w:val="List Table 1 Light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List Table 1 Light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4">
    <w:name w:val="List Table 2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5">
    <w:name w:val="List Table 2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6">
    <w:name w:val="List Table 2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7">
    <w:name w:val="List Table 2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8">
    <w:name w:val="List Table 2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69">
    <w:name w:val="List Table 2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0">
    <w:name w:val="List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List Table 3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3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3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3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3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4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4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5 Dark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5">
    <w:name w:val="List Table 5 Dark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6">
    <w:name w:val="List Table 5 Dark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7">
    <w:name w:val="List Table 5 Dark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8">
    <w:name w:val="List Table 5 Dark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9">
    <w:name w:val="List Table 5 Dark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0">
    <w:name w:val="List Table 5 Dark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1">
    <w:name w:val="List Table 6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2">
    <w:name w:val="List Table 6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3">
    <w:name w:val="List Table 6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4">
    <w:name w:val="List Table 6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5">
    <w:name w:val="List Table 6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6">
    <w:name w:val="List Table 6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7">
    <w:name w:val="List Table 6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8">
    <w:name w:val="List Table 7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99">
    <w:name w:val="List Table 7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000">
    <w:name w:val="List Table 7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001">
    <w:name w:val="List Table 7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002">
    <w:name w:val="List Table 7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003">
    <w:name w:val="List Table 7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004">
    <w:name w:val="List Table 7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005">
    <w:name w:val="Lined - Accent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6">
    <w:name w:val="Lined - Accent 1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07">
    <w:name w:val="Lined - Accent 2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08">
    <w:name w:val="Lined - Accent 3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09">
    <w:name w:val="Lined - Accent 4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0">
    <w:name w:val="Lined - Accent 5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1">
    <w:name w:val="Lined - Accent 6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2">
    <w:name w:val="Bordered &amp; Lined - Accent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3">
    <w:name w:val="Bordered &amp; Lined - Accent 1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14">
    <w:name w:val="Bordered &amp; Lined - Accent 2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15">
    <w:name w:val="Bordered &amp; Lined - Accent 3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16">
    <w:name w:val="Bordered &amp; Lined - Accent 4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7">
    <w:name w:val="Bordered &amp; Lined - Accent 5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8">
    <w:name w:val="Bordered &amp; Lined - Accent 6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9">
    <w:name w:val="Bordered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0">
    <w:name w:val="Bordered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1">
    <w:name w:val="Bordered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2">
    <w:name w:val="Bordered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3">
    <w:name w:val="Bordered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4">
    <w:name w:val="Bordered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5">
    <w:name w:val="Bordered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6">
    <w:name w:val="Footnote Text Char"/>
    <w:link w:val="1049"/>
    <w:uiPriority w:val="99"/>
    <w:rPr>
      <w:sz w:val="18"/>
    </w:rPr>
  </w:style>
  <w:style w:type="paragraph" w:styleId="1027">
    <w:name w:val="endnote text"/>
    <w:basedOn w:val="1041"/>
    <w:link w:val="1028"/>
    <w:uiPriority w:val="99"/>
    <w:semiHidden/>
    <w:unhideWhenUsed/>
    <w:pPr>
      <w:spacing w:after="0" w:line="240" w:lineRule="auto"/>
    </w:pPr>
    <w:rPr>
      <w:sz w:val="20"/>
    </w:rPr>
  </w:style>
  <w:style w:type="character" w:styleId="1028">
    <w:name w:val="Endnote Text Char"/>
    <w:link w:val="1027"/>
    <w:uiPriority w:val="99"/>
    <w:rPr>
      <w:sz w:val="20"/>
    </w:rPr>
  </w:style>
  <w:style w:type="character" w:styleId="1029">
    <w:name w:val="endnote reference"/>
    <w:basedOn w:val="1042"/>
    <w:uiPriority w:val="99"/>
    <w:semiHidden/>
    <w:unhideWhenUsed/>
    <w:rPr>
      <w:vertAlign w:val="superscript"/>
    </w:rPr>
  </w:style>
  <w:style w:type="paragraph" w:styleId="1030">
    <w:name w:val="toc 1"/>
    <w:basedOn w:val="1041"/>
    <w:next w:val="1041"/>
    <w:uiPriority w:val="39"/>
    <w:unhideWhenUsed/>
    <w:pPr>
      <w:spacing w:after="57"/>
      <w:ind w:left="0" w:right="0" w:firstLine="0"/>
    </w:pPr>
  </w:style>
  <w:style w:type="paragraph" w:styleId="1031">
    <w:name w:val="toc 2"/>
    <w:basedOn w:val="1041"/>
    <w:next w:val="1041"/>
    <w:uiPriority w:val="39"/>
    <w:unhideWhenUsed/>
    <w:pPr>
      <w:spacing w:after="57"/>
      <w:ind w:left="283" w:right="0" w:firstLine="0"/>
    </w:pPr>
  </w:style>
  <w:style w:type="paragraph" w:styleId="1032">
    <w:name w:val="toc 3"/>
    <w:basedOn w:val="1041"/>
    <w:next w:val="1041"/>
    <w:uiPriority w:val="39"/>
    <w:unhideWhenUsed/>
    <w:pPr>
      <w:spacing w:after="57"/>
      <w:ind w:left="567" w:right="0" w:firstLine="0"/>
    </w:pPr>
  </w:style>
  <w:style w:type="paragraph" w:styleId="1033">
    <w:name w:val="toc 4"/>
    <w:basedOn w:val="1041"/>
    <w:next w:val="1041"/>
    <w:uiPriority w:val="39"/>
    <w:unhideWhenUsed/>
    <w:pPr>
      <w:spacing w:after="57"/>
      <w:ind w:left="850" w:right="0" w:firstLine="0"/>
    </w:pPr>
  </w:style>
  <w:style w:type="paragraph" w:styleId="1034">
    <w:name w:val="toc 5"/>
    <w:basedOn w:val="1041"/>
    <w:next w:val="1041"/>
    <w:uiPriority w:val="39"/>
    <w:unhideWhenUsed/>
    <w:pPr>
      <w:spacing w:after="57"/>
      <w:ind w:left="1134" w:right="0" w:firstLine="0"/>
    </w:pPr>
  </w:style>
  <w:style w:type="paragraph" w:styleId="1035">
    <w:name w:val="toc 6"/>
    <w:basedOn w:val="1041"/>
    <w:next w:val="1041"/>
    <w:uiPriority w:val="39"/>
    <w:unhideWhenUsed/>
    <w:pPr>
      <w:spacing w:after="57"/>
      <w:ind w:left="1417" w:right="0" w:firstLine="0"/>
    </w:pPr>
  </w:style>
  <w:style w:type="paragraph" w:styleId="1036">
    <w:name w:val="toc 7"/>
    <w:basedOn w:val="1041"/>
    <w:next w:val="1041"/>
    <w:uiPriority w:val="39"/>
    <w:unhideWhenUsed/>
    <w:pPr>
      <w:spacing w:after="57"/>
      <w:ind w:left="1701" w:right="0" w:firstLine="0"/>
    </w:pPr>
  </w:style>
  <w:style w:type="paragraph" w:styleId="1037">
    <w:name w:val="toc 8"/>
    <w:basedOn w:val="1041"/>
    <w:next w:val="1041"/>
    <w:uiPriority w:val="39"/>
    <w:unhideWhenUsed/>
    <w:pPr>
      <w:spacing w:after="57"/>
      <w:ind w:left="1984" w:right="0" w:firstLine="0"/>
    </w:pPr>
  </w:style>
  <w:style w:type="paragraph" w:styleId="1038">
    <w:name w:val="toc 9"/>
    <w:basedOn w:val="1041"/>
    <w:next w:val="1041"/>
    <w:uiPriority w:val="39"/>
    <w:unhideWhenUsed/>
    <w:pPr>
      <w:spacing w:after="57"/>
      <w:ind w:left="2268" w:right="0" w:firstLine="0"/>
    </w:pPr>
  </w:style>
  <w:style w:type="paragraph" w:styleId="1039">
    <w:name w:val="TOC Heading"/>
    <w:uiPriority w:val="39"/>
    <w:unhideWhenUsed/>
  </w:style>
  <w:style w:type="paragraph" w:styleId="1040">
    <w:name w:val="table of figures"/>
    <w:basedOn w:val="1041"/>
    <w:next w:val="1041"/>
    <w:uiPriority w:val="99"/>
    <w:unhideWhenUsed/>
    <w:pPr>
      <w:spacing w:after="0" w:afterAutospacing="0"/>
    </w:pPr>
  </w:style>
  <w:style w:type="paragraph" w:styleId="1041" w:default="1">
    <w:name w:val="Normal"/>
    <w:qFormat/>
    <w:rPr>
      <w:rFonts w:ascii="Calibri" w:hAnsi="Calibri" w:eastAsia="Calibri" w:cs="Times New Roman"/>
    </w:rPr>
  </w:style>
  <w:style w:type="character" w:styleId="1042" w:default="1">
    <w:name w:val="Default Paragraph Font"/>
    <w:uiPriority w:val="1"/>
    <w:semiHidden/>
    <w:unhideWhenUsed/>
  </w:style>
  <w:style w:type="table" w:styleId="10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44" w:default="1">
    <w:name w:val="No List"/>
    <w:uiPriority w:val="99"/>
    <w:semiHidden/>
    <w:unhideWhenUsed/>
  </w:style>
  <w:style w:type="paragraph" w:styleId="1045" w:customStyle="1">
    <w:name w:val="ConsPlusNormal"/>
    <w:pPr>
      <w:widowControl w:val="off"/>
      <w:spacing w:after="0" w:line="240" w:lineRule="auto"/>
    </w:pPr>
    <w:rPr>
      <w:rFonts w:ascii="Arial" w:hAnsi="Arial" w:cs="Arial" w:eastAsiaTheme="minorEastAsia"/>
      <w:sz w:val="20"/>
      <w:lang w:eastAsia="ru-RU"/>
    </w:rPr>
  </w:style>
  <w:style w:type="paragraph" w:styleId="1046" w:customStyle="1">
    <w:name w:val="ConsPlusTitlePage"/>
    <w:pPr>
      <w:widowControl w:val="off"/>
      <w:spacing w:after="0" w:line="240" w:lineRule="auto"/>
    </w:pPr>
    <w:rPr>
      <w:rFonts w:ascii="Tahoma" w:hAnsi="Tahoma" w:cs="Tahoma" w:eastAsiaTheme="minorEastAsia"/>
      <w:sz w:val="20"/>
      <w:lang w:eastAsia="ru-RU"/>
    </w:rPr>
  </w:style>
  <w:style w:type="paragraph" w:styleId="1047">
    <w:name w:val="Body Text"/>
    <w:basedOn w:val="1041"/>
    <w:link w:val="1048"/>
    <w:uiPriority w:val="99"/>
    <w:pPr>
      <w:widowControl w:val="off"/>
      <w:spacing w:after="0" w:line="240" w:lineRule="auto"/>
    </w:pPr>
    <w:rPr>
      <w:rFonts w:ascii="Arial" w:hAnsi="Arial" w:eastAsia="Times New Roman" w:cs="Arial"/>
      <w:sz w:val="28"/>
      <w:szCs w:val="28"/>
      <w:lang w:eastAsia="ru-RU"/>
    </w:rPr>
  </w:style>
  <w:style w:type="character" w:styleId="1048" w:customStyle="1">
    <w:name w:val="Основной текст Знак"/>
    <w:basedOn w:val="1042"/>
    <w:link w:val="1047"/>
    <w:uiPriority w:val="99"/>
    <w:rPr>
      <w:rFonts w:ascii="Arial" w:hAnsi="Arial" w:eastAsia="Times New Roman" w:cs="Arial"/>
      <w:sz w:val="28"/>
      <w:szCs w:val="28"/>
      <w:lang w:eastAsia="ru-RU"/>
    </w:rPr>
  </w:style>
  <w:style w:type="paragraph" w:styleId="1049">
    <w:name w:val="footnote text"/>
    <w:basedOn w:val="1041"/>
    <w:link w:val="105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1050" w:customStyle="1">
    <w:name w:val="Текст сноски Знак"/>
    <w:basedOn w:val="1042"/>
    <w:link w:val="1049"/>
    <w:uiPriority w:val="99"/>
    <w:semiHidden/>
    <w:rPr>
      <w:rFonts w:ascii="Calibri" w:hAnsi="Calibri" w:eastAsia="Calibri" w:cs="Times New Roman"/>
      <w:sz w:val="20"/>
      <w:szCs w:val="20"/>
    </w:rPr>
  </w:style>
  <w:style w:type="character" w:styleId="1051">
    <w:name w:val="footnote reference"/>
    <w:basedOn w:val="1042"/>
    <w:uiPriority w:val="99"/>
    <w:semiHidden/>
    <w:unhideWhenUsed/>
    <w:rPr>
      <w:vertAlign w:val="superscript"/>
    </w:rPr>
  </w:style>
  <w:style w:type="character" w:styleId="1052">
    <w:name w:val="Hyperlink"/>
    <w:basedOn w:val="1042"/>
    <w:uiPriority w:val="99"/>
    <w:unhideWhenUsed/>
    <w:rPr>
      <w:color w:val="0000ff" w:themeColor="hyperlink"/>
      <w:u w:val="single"/>
    </w:rPr>
  </w:style>
  <w:style w:type="paragraph" w:styleId="1053" w:customStyle="1">
    <w:name w:val="Обычный.Название подразделения"/>
    <w:pPr>
      <w:spacing w:after="0" w:line="240" w:lineRule="auto"/>
    </w:pPr>
    <w:rPr>
      <w:rFonts w:ascii="SchoolBook" w:hAnsi="SchoolBook" w:eastAsia="Times New Roman" w:cs="Times New Roman"/>
      <w:sz w:val="28"/>
      <w:szCs w:val="20"/>
      <w:lang w:eastAsia="ru-RU"/>
    </w:rPr>
  </w:style>
  <w:style w:type="table" w:styleId="1054">
    <w:name w:val="Table Grid"/>
    <w:basedOn w:val="104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consultantplus://offline/ref=FD8F19D37AED486558201090371047356E2AEE96011304D8603786602E19EC55779AF14629F230D46A404A20D43999B527EF07FCpFj3L" TargetMode="External"/><Relationship Id="rId10" Type="http://schemas.openxmlformats.org/officeDocument/2006/relationships/hyperlink" Target="https://ksp36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consultantplus://offline/ref=DFDF09D5CFE70E1C741C1C9167F31A8A39B55FBD20392B373471E83DB7B31F890334898B4F6151E43A62B90AE175641D318704943DBBE2D8q4j3L" TargetMode="External"/><Relationship Id="rId2" Type="http://schemas.openxmlformats.org/officeDocument/2006/relationships/hyperlink" Target="consultantplus://offline/ref=DFDF09D5CFE70E1C741C1C9167F31A8A39B55FBD20392B373471E83DB7B31F890334898B4F6151E43462B90AE175641D318704943DBBE2D8q4j3L" TargetMode="External"/><Relationship Id="rId3" Type="http://schemas.openxmlformats.org/officeDocument/2006/relationships/hyperlink" Target="consultantplus://offline/ref=DFDF09D5CFE70E1C741C1C9167F31A8A39B55FBD20392B373471E83DB7B31F890334898B4F6151E33262B90AE175641D318704943DBBE2D8q4j3L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85FA9-0328-489E-BA21-A00A7973F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kutsova</dc:creator>
  <cp:lastModifiedBy>khlistun</cp:lastModifiedBy>
  <cp:revision>30</cp:revision>
  <dcterms:created xsi:type="dcterms:W3CDTF">2023-04-18T11:35:00Z</dcterms:created>
  <dcterms:modified xsi:type="dcterms:W3CDTF">2026-09-30T07:23:49Z</dcterms:modified>
</cp:coreProperties>
</file>