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  <w:outlineLvl w:val="1"/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left="7128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Приложение № </w:t>
      </w:r>
      <w:r>
        <w:rPr>
          <w:rFonts w:ascii="Times New Roman" w:hAnsi="Times New Roman"/>
          <w:b/>
          <w:sz w:val="28"/>
          <w:szCs w:val="28"/>
        </w:rPr>
        <w:t xml:space="preserve">6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left="4968" w:hanging="648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55"/>
        <w:jc w:val="center"/>
        <w:spacing w:before="324" w:line="317" w:lineRule="exact"/>
        <w:shd w:val="clear" w:color="auto" w:fill="ffffff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Перечень тем </w:t>
      </w:r>
      <w:r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второго этапа конкурсных испытаний для кандидатов, успешно прошедших квалификационный отбор при формировании кадрового резерва для замещения вакантных должностей Контрольно-счетной палаты городского округа город Воронеж</w:t>
      </w:r>
      <w:r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r>
      <w:r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r>
    </w:p>
    <w:p>
      <w:pPr>
        <w:ind w:right="55"/>
        <w:jc w:val="center"/>
        <w:spacing w:before="324" w:line="317" w:lineRule="exact"/>
        <w:shd w:val="clear" w:color="auto" w:fill="ffffff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r>
      <w:r>
        <w:rPr>
          <w:rFonts w:ascii="Times New Roman" w:hAnsi="Times New Roman"/>
          <w:b/>
          <w:bCs/>
          <w:color w:val="000000"/>
          <w:spacing w:val="-23"/>
          <w:sz w:val="28"/>
          <w:szCs w:val="28"/>
          <w:lang w:val="en-US"/>
        </w:rPr>
        <w:t xml:space="preserve">1.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/>
          <w:color w:val="000000"/>
          <w:spacing w:val="-6"/>
          <w:sz w:val="28"/>
          <w:szCs w:val="28"/>
          <w:u w:val="single"/>
        </w:rPr>
        <w:t xml:space="preserve">Вопросы о муниципальной службе</w:t>
      </w:r>
      <w:r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r>
      <w:r/>
    </w:p>
    <w:p>
      <w:pPr>
        <w:numPr>
          <w:ilvl w:val="0"/>
          <w:numId w:val="3"/>
        </w:numPr>
        <w:ind w:firstLine="709"/>
        <w:jc w:val="both"/>
        <w:spacing w:after="0" w:line="310" w:lineRule="exact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Правовые основы муниципальной службы в Российской Федерации. 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сновные п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ринципы муниципальной службы.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numPr>
          <w:ilvl w:val="0"/>
          <w:numId w:val="3"/>
        </w:numPr>
        <w:ind w:firstLine="709"/>
        <w:jc w:val="both"/>
        <w:spacing w:after="0" w:line="310" w:lineRule="exact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Основные квалификационные требования для замещения должностей муниципальной службы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numPr>
          <w:ilvl w:val="0"/>
          <w:numId w:val="3"/>
        </w:numPr>
        <w:ind w:firstLine="709"/>
        <w:jc w:val="both"/>
        <w:spacing w:after="0" w:line="310" w:lineRule="exact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Обязанности муниципального служащего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numPr>
          <w:ilvl w:val="0"/>
          <w:numId w:val="3"/>
        </w:numPr>
        <w:ind w:firstLine="709"/>
        <w:jc w:val="both"/>
        <w:spacing w:after="0" w:line="310" w:lineRule="exact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Ограничения и з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апреты, связанные с муниципальной службой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numPr>
          <w:ilvl w:val="0"/>
          <w:numId w:val="3"/>
        </w:numPr>
        <w:ind w:firstLine="709"/>
        <w:jc w:val="both"/>
        <w:spacing w:after="0" w:line="310" w:lineRule="exact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Предотвращение и у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регулирование конфликта интересов на муниципальной службе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numPr>
          <w:ilvl w:val="0"/>
          <w:numId w:val="3"/>
        </w:numPr>
        <w:ind w:firstLine="709"/>
        <w:jc w:val="both"/>
        <w:spacing w:after="0" w:line="310" w:lineRule="exact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Обязанность муниципальных служащих уведомлять об обращениях в целях склонения к совершению коррупционных правонарушений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numPr>
          <w:ilvl w:val="0"/>
          <w:numId w:val="3"/>
        </w:numPr>
        <w:ind w:firstLine="709"/>
        <w:jc w:val="both"/>
        <w:spacing w:after="0" w:line="310" w:lineRule="exact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Права муниципального служащего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numPr>
          <w:ilvl w:val="0"/>
          <w:numId w:val="3"/>
        </w:numPr>
        <w:ind w:firstLine="709"/>
        <w:jc w:val="both"/>
        <w:spacing w:after="0" w:line="310" w:lineRule="exact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Требования к служебному поведению муниципального служащего. Кодекс этики и служебного поведения муниципальных служащих городского округа город Воронеж.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ind w:left="709" w:firstLine="0"/>
        <w:jc w:val="both"/>
        <w:spacing w:after="0" w:line="310" w:lineRule="exact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pacing w:val="-6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ind w:left="0" w:right="0" w:firstLine="709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/>
          <w:b/>
          <w:bCs/>
          <w:color w:val="000000"/>
          <w:spacing w:val="-7"/>
          <w:sz w:val="28"/>
          <w:szCs w:val="28"/>
          <w:u w:val="single"/>
        </w:rPr>
      </w:pPr>
      <w:r>
        <w:rPr>
          <w:rFonts w:ascii="Times New Roman" w:hAnsi="Times New Roman"/>
          <w:b/>
          <w:color w:val="000000"/>
          <w:spacing w:val="-10"/>
          <w:sz w:val="28"/>
          <w:szCs w:val="28"/>
        </w:rPr>
        <w:t xml:space="preserve">2.</w:t>
      </w:r>
      <w:r>
        <w:rPr>
          <w:rFonts w:ascii="Times New Roman" w:hAnsi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/>
          <w:b/>
          <w:color w:val="000000"/>
          <w:spacing w:val="-7"/>
          <w:sz w:val="28"/>
          <w:szCs w:val="28"/>
          <w:u w:val="single"/>
        </w:rPr>
        <w:t xml:space="preserve">Специальные вопросы</w:t>
      </w:r>
      <w:r>
        <w:rPr>
          <w:rFonts w:ascii="Times New Roman" w:hAnsi="Times New Roman"/>
          <w:b/>
          <w:bCs/>
          <w:color w:val="000000"/>
          <w:spacing w:val="-7"/>
          <w:sz w:val="28"/>
          <w:szCs w:val="28"/>
          <w:highlight w:val="none"/>
          <w:u w:val="single"/>
        </w:rPr>
      </w:r>
      <w:r>
        <w:rPr>
          <w:rFonts w:ascii="Times New Roman" w:hAnsi="Times New Roman"/>
          <w:b/>
          <w:bCs/>
          <w:color w:val="000000"/>
          <w:spacing w:val="-7"/>
          <w:sz w:val="28"/>
          <w:szCs w:val="28"/>
          <w:u w:val="single"/>
        </w:rPr>
      </w:r>
    </w:p>
    <w:p>
      <w:pPr>
        <w:ind w:left="0" w:right="0" w:firstLine="709"/>
        <w:spacing w:before="0" w:beforeAutospacing="0" w:after="0" w:afterAutospacing="0" w:line="240" w:lineRule="auto"/>
        <w:shd w:val="clear" w:color="auto" w:fill="ffffff"/>
        <w:tabs>
          <w:tab w:val="left" w:pos="1994" w:leader="none"/>
        </w:tabs>
        <w:rPr>
          <w:rFonts w:ascii="Times New Roman" w:hAnsi="Times New Roman"/>
          <w:b/>
          <w:bCs/>
          <w:color w:val="000000"/>
          <w:spacing w:val="-7"/>
          <w:sz w:val="28"/>
          <w:szCs w:val="28"/>
          <w:highlight w:val="none"/>
          <w:u w:val="single"/>
        </w:rPr>
      </w:pPr>
      <w:r>
        <w:rPr>
          <w:rFonts w:ascii="Times New Roman" w:hAnsi="Times New Roman"/>
          <w:b/>
          <w:color w:val="000000"/>
          <w:spacing w:val="-7"/>
          <w:sz w:val="28"/>
          <w:szCs w:val="28"/>
          <w:u w:val="single"/>
        </w:rPr>
      </w:r>
      <w:r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(организация и деятельность контрольно-счетных органов в РФ)</w:t>
      </w:r>
      <w:r>
        <w:rPr>
          <w:rFonts w:ascii="Times New Roman" w:hAnsi="Times New Roman"/>
          <w:b/>
          <w:bCs/>
          <w:color w:val="000000"/>
          <w:spacing w:val="-7"/>
          <w:sz w:val="28"/>
          <w:szCs w:val="28"/>
          <w:highlight w:val="none"/>
          <w:u w:val="single"/>
        </w:rPr>
      </w:r>
      <w:r>
        <w:rPr>
          <w:rFonts w:ascii="Times New Roman" w:hAnsi="Times New Roman"/>
          <w:b/>
          <w:bCs/>
          <w:color w:val="000000"/>
          <w:spacing w:val="-7"/>
          <w:sz w:val="28"/>
          <w:szCs w:val="28"/>
          <w:highlight w:val="none"/>
          <w:u w:val="single"/>
        </w:rPr>
      </w:r>
    </w:p>
    <w:p>
      <w:pPr>
        <w:pStyle w:val="872"/>
        <w:numPr>
          <w:ilvl w:val="0"/>
          <w:numId w:val="13"/>
        </w:numPr>
        <w:ind w:left="0" w:firstLine="709"/>
        <w:jc w:val="both"/>
        <w:spacing w:after="0" w:line="240" w:lineRule="auto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Правовое регулирование организации и деятельности контрольно-счетных органов в Российской Федерации. Основы статуса и принципы деятельности контрольно-счетных органов в Российской Федерации. 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pStyle w:val="872"/>
        <w:numPr>
          <w:ilvl w:val="0"/>
          <w:numId w:val="13"/>
        </w:numPr>
        <w:ind w:left="0" w:firstLine="709"/>
        <w:jc w:val="both"/>
        <w:spacing w:after="0" w:line="310" w:lineRule="exact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Виды государственного (муниципального) финансового контроля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pStyle w:val="872"/>
        <w:numPr>
          <w:ilvl w:val="0"/>
          <w:numId w:val="13"/>
        </w:numPr>
        <w:ind w:left="0" w:firstLine="709"/>
        <w:jc w:val="both"/>
        <w:spacing w:after="0" w:line="310" w:lineRule="exact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Объекты государственного (муниципального) финансового контроля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pStyle w:val="872"/>
        <w:numPr>
          <w:ilvl w:val="0"/>
          <w:numId w:val="13"/>
        </w:numPr>
        <w:ind w:left="0" w:firstLine="709"/>
        <w:jc w:val="both"/>
        <w:spacing w:after="0" w:line="310" w:lineRule="exact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Методы осуществления государственного (муниципального) финансового контроля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pStyle w:val="872"/>
        <w:numPr>
          <w:ilvl w:val="0"/>
          <w:numId w:val="13"/>
        </w:numPr>
        <w:ind w:left="0" w:firstLine="709"/>
        <w:jc w:val="both"/>
        <w:spacing w:after="0" w:line="310" w:lineRule="exact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Полномочия контрольно-счетных органов.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pStyle w:val="872"/>
        <w:numPr>
          <w:ilvl w:val="0"/>
          <w:numId w:val="13"/>
        </w:numPr>
        <w:ind w:left="0" w:firstLine="709"/>
        <w:jc w:val="both"/>
        <w:spacing w:after="0" w:line="310" w:lineRule="exact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Формы осуществления контрольно-счетными органами внешнего муниципального финансового контроля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pStyle w:val="872"/>
        <w:numPr>
          <w:ilvl w:val="0"/>
          <w:numId w:val="13"/>
        </w:numPr>
        <w:ind w:left="0" w:firstLine="709"/>
        <w:jc w:val="both"/>
        <w:spacing w:after="0" w:line="310" w:lineRule="exact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Стандарты внешнего государственного и муниципального финансового контроля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pStyle w:val="872"/>
        <w:numPr>
          <w:ilvl w:val="0"/>
          <w:numId w:val="13"/>
        </w:numPr>
        <w:ind w:left="0" w:firstLine="709"/>
        <w:jc w:val="both"/>
        <w:spacing w:after="0" w:line="310" w:lineRule="exact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Планирование деятельности контрольно-счетных органов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pStyle w:val="872"/>
        <w:numPr>
          <w:ilvl w:val="0"/>
          <w:numId w:val="13"/>
        </w:numPr>
        <w:ind w:left="0" w:firstLine="709"/>
        <w:jc w:val="both"/>
        <w:spacing w:after="0" w:line="310" w:lineRule="exact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Права, обязанности и ответственность должностных лиц контрольно-счетных органов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pStyle w:val="872"/>
        <w:numPr>
          <w:ilvl w:val="0"/>
          <w:numId w:val="13"/>
        </w:numPr>
        <w:ind w:left="0" w:firstLine="709"/>
        <w:jc w:val="both"/>
        <w:spacing w:after="0" w:line="310" w:lineRule="exact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Представлени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я и предписания 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контрольно-счетных органов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pStyle w:val="872"/>
        <w:numPr>
          <w:ilvl w:val="0"/>
          <w:numId w:val="13"/>
        </w:numPr>
        <w:ind w:left="0" w:firstLine="709"/>
        <w:jc w:val="both"/>
        <w:spacing w:after="0" w:line="310" w:lineRule="exact"/>
        <w:shd w:val="clear" w:color="auto" w:fill="ffffff"/>
        <w:widowControl w:val="off"/>
        <w:rPr>
          <w:rFonts w:ascii="Times New Roman" w:hAnsi="Times New Roman"/>
          <w:color w:val="000000"/>
          <w:spacing w:val="-6"/>
          <w:sz w:val="28"/>
          <w:szCs w:val="28"/>
        </w:rPr>
        <w:outlineLvl w:val="0"/>
      </w:pPr>
      <w:r>
        <w:rPr>
          <w:rFonts w:ascii="Times New Roman" w:hAnsi="Times New Roman" w:eastAsiaTheme="minorHAnsi"/>
          <w:bCs/>
          <w:sz w:val="28"/>
          <w:szCs w:val="28"/>
        </w:rPr>
        <w:t xml:space="preserve">Обеспечение доступа к информации о деятельности контрольно-счетных органов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Взаимодействие КСП с другими органами государственного контроля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, надзора, правоохранительными органами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jc w:val="both"/>
        <w:spacing w:line="310" w:lineRule="exact"/>
        <w:shd w:val="clear" w:color="auto" w:fill="ffffff"/>
        <w:tabs>
          <w:tab w:val="left" w:pos="1318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ind w:left="1051"/>
        <w:spacing w:before="306" w:line="302" w:lineRule="exact"/>
        <w:shd w:val="clear" w:color="auto" w:fill="ffffff"/>
        <w:tabs>
          <w:tab w:val="left" w:pos="2002" w:leader="none"/>
        </w:tabs>
        <w:rPr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pacing w:val="-10"/>
          <w:sz w:val="28"/>
          <w:szCs w:val="28"/>
        </w:rPr>
        <w:t xml:space="preserve">3.</w:t>
      </w:r>
      <w:r>
        <w:rPr>
          <w:b/>
          <w:color w:val="000000"/>
          <w:sz w:val="28"/>
          <w:szCs w:val="28"/>
        </w:rPr>
        <w:tab/>
      </w:r>
      <w:r>
        <w:rPr>
          <w:rFonts w:ascii="Times New Roman" w:hAnsi="Times New Roman"/>
          <w:b/>
          <w:color w:val="000000"/>
          <w:spacing w:val="-3"/>
          <w:sz w:val="28"/>
          <w:szCs w:val="28"/>
          <w:u w:val="single"/>
        </w:rPr>
        <w:t xml:space="preserve">Вопросы по практической деятельности и по выполнению </w:t>
      </w:r>
      <w:r>
        <w:rPr>
          <w:rFonts w:ascii="Times New Roman" w:hAnsi="Times New Roman"/>
          <w:b/>
          <w:color w:val="000000"/>
          <w:spacing w:val="-8"/>
          <w:sz w:val="28"/>
          <w:szCs w:val="28"/>
          <w:u w:val="single"/>
        </w:rPr>
        <w:t xml:space="preserve">должностных обязанностей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2"/>
        <w:numPr>
          <w:ilvl w:val="0"/>
          <w:numId w:val="15"/>
        </w:numPr>
        <w:ind w:left="0" w:firstLine="567"/>
        <w:jc w:val="both"/>
        <w:spacing w:after="0" w:line="310" w:lineRule="exact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Статус 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и правовые основы деятельности 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Контрольно-счетной палаты городского округа город Воронеж. 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pStyle w:val="872"/>
        <w:numPr>
          <w:ilvl w:val="0"/>
          <w:numId w:val="15"/>
        </w:numPr>
        <w:ind w:left="0" w:firstLine="567"/>
        <w:jc w:val="both"/>
        <w:spacing w:after="0" w:line="310" w:lineRule="exact"/>
        <w:shd w:val="clear" w:color="auto" w:fill="ffffff"/>
        <w:widowControl w:val="off"/>
        <w:tabs>
          <w:tab w:val="left" w:pos="0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Стандарты внешнего муниципального финансового контроля городского округа город Воронеж.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pStyle w:val="872"/>
        <w:numPr>
          <w:ilvl w:val="0"/>
          <w:numId w:val="15"/>
        </w:numPr>
        <w:ind w:left="0" w:firstLine="567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Порядок осуществления Контрольно-счетной палатой городского округа город Воронеж полномочий по внешнему финансовому контролю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pStyle w:val="872"/>
        <w:numPr>
          <w:ilvl w:val="0"/>
          <w:numId w:val="14"/>
        </w:numPr>
        <w:ind w:left="0" w:firstLine="567"/>
        <w:jc w:val="both"/>
        <w:spacing w:after="0" w:line="310" w:lineRule="exact"/>
        <w:shd w:val="clear" w:color="auto" w:fill="ffffff"/>
        <w:widowControl w:val="off"/>
        <w:tabs>
          <w:tab w:val="left" w:pos="0" w:leader="none"/>
          <w:tab w:val="left" w:pos="1318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Классификатор нарушений, выявляемых в ходе внешнего государственного аудита (контроля). Общие положения.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pStyle w:val="872"/>
        <w:numPr>
          <w:ilvl w:val="0"/>
          <w:numId w:val="14"/>
        </w:numPr>
        <w:ind w:left="0" w:firstLine="567"/>
        <w:jc w:val="both"/>
        <w:spacing w:after="0" w:line="310" w:lineRule="exact"/>
        <w:shd w:val="clear" w:color="auto" w:fill="ffffff"/>
        <w:widowControl w:val="off"/>
        <w:tabs>
          <w:tab w:val="left" w:pos="1318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Программно-целевой метод бюджетного планирования. Положение о стратегическом планировании в городском округе город Воронеж.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pStyle w:val="872"/>
        <w:numPr>
          <w:ilvl w:val="0"/>
          <w:numId w:val="14"/>
        </w:numPr>
        <w:ind w:left="0" w:firstLine="567"/>
        <w:jc w:val="both"/>
        <w:spacing w:after="0" w:line="310" w:lineRule="exact"/>
        <w:shd w:val="clear" w:color="auto" w:fill="ffffff"/>
        <w:widowControl w:val="off"/>
        <w:tabs>
          <w:tab w:val="left" w:pos="1318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Порядок разработки и реализации муниципальных программ городского округа город Воронеж.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pStyle w:val="872"/>
        <w:numPr>
          <w:ilvl w:val="0"/>
          <w:numId w:val="14"/>
        </w:numPr>
        <w:ind w:left="0" w:firstLine="567"/>
        <w:jc w:val="both"/>
        <w:spacing w:after="0" w:line="310" w:lineRule="exact"/>
        <w:shd w:val="clear" w:color="auto" w:fill="ffffff"/>
        <w:widowControl w:val="off"/>
        <w:tabs>
          <w:tab w:val="left" w:pos="1318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Бюджетный процесс в городском округе город Воронеж.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 Положени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 о бюджетном процессе в городском округе город Воронеж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pStyle w:val="872"/>
        <w:numPr>
          <w:ilvl w:val="0"/>
          <w:numId w:val="14"/>
        </w:numPr>
        <w:ind w:left="0" w:firstLine="567"/>
        <w:jc w:val="both"/>
        <w:spacing w:after="0" w:line="310" w:lineRule="exact"/>
        <w:shd w:val="clear" w:color="auto" w:fill="ffffff"/>
        <w:widowControl w:val="off"/>
        <w:tabs>
          <w:tab w:val="left" w:pos="1318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Владение, пользование и распоряжение муниципальным имуществом городского округа город Воронеж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pStyle w:val="872"/>
        <w:numPr>
          <w:ilvl w:val="0"/>
          <w:numId w:val="14"/>
        </w:numPr>
        <w:ind w:left="0" w:firstLine="567"/>
        <w:jc w:val="both"/>
        <w:spacing w:after="0" w:line="240" w:lineRule="auto"/>
        <w:rPr>
          <w:rFonts w:ascii="Times New Roman" w:hAnsi="Times New Roman" w:eastAsiaTheme="minorHAnsi"/>
          <w:sz w:val="28"/>
          <w:szCs w:val="28"/>
        </w:rPr>
        <w:outlineLvl w:val="0"/>
      </w:pPr>
      <w:r>
        <w:rPr>
          <w:rFonts w:ascii="Times New Roman" w:hAnsi="Times New Roman" w:eastAsiaTheme="minorHAnsi"/>
          <w:sz w:val="28"/>
          <w:szCs w:val="28"/>
        </w:rPr>
        <w:t xml:space="preserve">Порядок и условия приватизации муниципальной собственности городского округа город Воронеж</w:t>
      </w:r>
      <w:r>
        <w:rPr>
          <w:rFonts w:ascii="Times New Roman" w:hAnsi="Times New Roman" w:eastAsiaTheme="minorHAnsi"/>
          <w:sz w:val="28"/>
          <w:szCs w:val="28"/>
        </w:rPr>
        <w:t xml:space="preserve">.</w:t>
      </w:r>
      <w:r>
        <w:rPr>
          <w:rFonts w:ascii="Times New Roman" w:hAnsi="Times New Roman" w:eastAsiaTheme="minorHAnsi"/>
          <w:sz w:val="28"/>
          <w:szCs w:val="28"/>
        </w:rPr>
      </w:r>
      <w:r>
        <w:rPr>
          <w:rFonts w:ascii="Times New Roman" w:hAnsi="Times New Roman" w:eastAsiaTheme="minorHAnsi"/>
          <w:sz w:val="28"/>
          <w:szCs w:val="28"/>
        </w:rPr>
      </w:r>
    </w:p>
    <w:p>
      <w:pPr>
        <w:pStyle w:val="872"/>
        <w:numPr>
          <w:ilvl w:val="0"/>
          <w:numId w:val="14"/>
        </w:numPr>
        <w:ind w:left="0" w:firstLine="567"/>
        <w:jc w:val="both"/>
        <w:spacing w:after="0" w:line="310" w:lineRule="exact"/>
        <w:shd w:val="clear" w:color="auto" w:fill="ffffff"/>
        <w:widowControl w:val="off"/>
        <w:tabs>
          <w:tab w:val="left" w:pos="1318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Закупки товаров, работ, услуг для обеспечения муниципальных нужд.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pStyle w:val="872"/>
        <w:numPr>
          <w:ilvl w:val="0"/>
          <w:numId w:val="14"/>
        </w:numPr>
        <w:ind w:left="0" w:firstLine="567"/>
        <w:jc w:val="both"/>
        <w:spacing w:after="0" w:line="310" w:lineRule="exact"/>
        <w:shd w:val="clear" w:color="auto" w:fill="ffffff"/>
        <w:widowControl w:val="off"/>
        <w:tabs>
          <w:tab w:val="left" w:pos="1318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Муниципальные унитарные предприятия. Виды, имущество и ответственность.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pStyle w:val="872"/>
        <w:numPr>
          <w:ilvl w:val="0"/>
          <w:numId w:val="14"/>
        </w:numPr>
        <w:ind w:left="0" w:firstLine="567"/>
        <w:jc w:val="both"/>
        <w:spacing w:after="0" w:line="310" w:lineRule="exact"/>
        <w:shd w:val="clear" w:color="auto" w:fill="ffffff"/>
        <w:widowControl w:val="off"/>
        <w:tabs>
          <w:tab w:val="left" w:pos="1318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Муниципальные учреждения. Виды, имущество и ответственность.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pStyle w:val="872"/>
        <w:numPr>
          <w:ilvl w:val="0"/>
          <w:numId w:val="14"/>
        </w:numPr>
        <w:ind w:left="0" w:firstLine="567"/>
        <w:jc w:val="both"/>
        <w:spacing w:after="0" w:line="310" w:lineRule="exact"/>
        <w:shd w:val="clear" w:color="auto" w:fill="ffffff"/>
        <w:widowControl w:val="off"/>
        <w:tabs>
          <w:tab w:val="left" w:pos="1318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Система оплаты труда работников муниципальных учреждений.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pStyle w:val="872"/>
        <w:numPr>
          <w:ilvl w:val="0"/>
          <w:numId w:val="14"/>
        </w:numPr>
        <w:ind w:left="0" w:firstLine="567"/>
        <w:jc w:val="both"/>
        <w:spacing w:after="0" w:line="310" w:lineRule="exact"/>
        <w:shd w:val="clear" w:color="auto" w:fill="ffffff"/>
        <w:widowControl w:val="off"/>
        <w:tabs>
          <w:tab w:val="left" w:pos="1318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Порядок формирования муниципального задания на оказание муниципальных услуг (выполнение услуг) в отношении муниципальных учреждений городского округа город Воронеж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 и финансового обеспечения его выполнения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pStyle w:val="872"/>
        <w:numPr>
          <w:ilvl w:val="0"/>
          <w:numId w:val="14"/>
        </w:numPr>
        <w:ind w:left="0" w:firstLine="567"/>
        <w:jc w:val="both"/>
        <w:spacing w:after="0" w:line="310" w:lineRule="exact"/>
        <w:shd w:val="clear" w:color="auto" w:fill="ffffff"/>
        <w:widowControl w:val="off"/>
        <w:tabs>
          <w:tab w:val="left" w:pos="1318" w:leader="none"/>
        </w:tabs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Порядок регулирования цен (тарифов) на услуги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 (работы)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, предоставляемые 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(выполняемые) 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муниципальными предприятиями и учреждениями городского округа город Воронеж.</w:t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  <w:r>
        <w:rPr>
          <w:rFonts w:ascii="Times New Roman" w:hAnsi="Times New Roman"/>
          <w:color w:val="000000"/>
          <w:spacing w:val="-6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b/>
          <w:bCs/>
          <w:sz w:val="28"/>
          <w:szCs w:val="28"/>
        </w:rPr>
      </w:pPr>
      <w:r>
        <w:rPr>
          <w:rFonts w:ascii="Times New Roman" w:hAnsi="Times New Roman" w:eastAsia="Times New Roman"/>
          <w:b/>
          <w:bCs/>
          <w:sz w:val="28"/>
          <w:szCs w:val="28"/>
        </w:rPr>
      </w:r>
      <w:r>
        <w:rPr>
          <w:rFonts w:ascii="Times New Roman" w:hAnsi="Times New Roman" w:eastAsia="Times New Roman"/>
          <w:b/>
          <w:bCs/>
          <w:sz w:val="28"/>
          <w:szCs w:val="28"/>
        </w:rPr>
      </w:r>
      <w:r>
        <w:rPr>
          <w:rFonts w:ascii="Times New Roman" w:hAnsi="Times New Roman" w:eastAsia="Times New Roman"/>
          <w:b/>
          <w:bCs/>
          <w:sz w:val="28"/>
          <w:szCs w:val="28"/>
        </w:rPr>
      </w:r>
    </w:p>
    <w:sectPr>
      <w:footnotePr/>
      <w:endnotePr/>
      <w:type w:val="nextPage"/>
      <w:pgSz w:w="11906" w:h="16838" w:orient="portrait"/>
      <w:pgMar w:top="454" w:right="851" w:bottom="454" w:left="164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1">
    <w:multiLevelType w:val="hybridMultilevel"/>
    <w:lvl w:ilvl="0">
      <w:start w:val="11"/>
      <w:numFmt w:val="decimal"/>
      <w:isLgl w:val="false"/>
      <w:suff w:val="tab"/>
      <w:lvlText w:val="%1."/>
      <w:legacy w:legacy="1" w:legacyIndent="385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1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egacy w:legacy="1" w:legacyIndent="705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8">
    <w:multiLevelType w:val="hybridMultilevel"/>
    <w:lvl w:ilvl="0">
      <w:start w:val="2"/>
      <w:numFmt w:val="decimal"/>
      <w:isLgl w:val="false"/>
      <w:suff w:val="tab"/>
      <w:lvlText w:val="%1."/>
      <w:legacy w:legacy="1" w:legacyIndent="38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egacy w:legacy="1" w:legacyIndent="396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egacy w:legacy="1" w:legacyIndent="309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isLgl w:val="false"/>
      <w:suff w:val="tab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3"/>
  </w:num>
  <w:num w:numId="3">
    <w:abstractNumId w:val="9"/>
  </w:num>
  <w:num w:numId="4">
    <w:abstractNumId w:val="10"/>
  </w:num>
  <w:num w:numId="5">
    <w:abstractNumId w:val="8"/>
  </w:num>
  <w:num w:numId="6">
    <w:abstractNumId w:val="1"/>
  </w:num>
  <w:num w:numId="7">
    <w:abstractNumId w:val="1"/>
    <w:lvlOverride w:ilvl="0">
      <w:lvl w:ilvl="0">
        <w:start w:val="11"/>
        <w:numFmt w:val="decimal"/>
        <w:isLgl w:val="false"/>
        <w:suff w:val="tab"/>
        <w:lvlText w:val="%1."/>
        <w:legacy w:legacy="1" w:legacyIndent="384" w:legacySpace="0"/>
        <w:lvlJc w:val="left"/>
        <w:pPr/>
        <w:rPr>
          <w:rFonts w:hint="default" w:ascii="Times New Roman" w:hAnsi="Times New Roman" w:cs="Times New Roman"/>
        </w:rPr>
      </w:lvl>
    </w:lvlOverride>
  </w:num>
  <w:num w:numId="8">
    <w:abstractNumId w:val="0"/>
  </w:num>
  <w:num w:numId="9">
    <w:abstractNumId w:val="7"/>
  </w:num>
  <w:num w:numId="10">
    <w:abstractNumId w:val="4"/>
  </w:num>
  <w:num w:numId="11">
    <w:abstractNumId w:val="11"/>
  </w:num>
  <w:num w:numId="12">
    <w:abstractNumId w:val="12"/>
  </w:num>
  <w:num w:numId="13">
    <w:abstractNumId w:val="5"/>
  </w:num>
  <w:num w:numId="14">
    <w:abstractNumId w:val="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4">
    <w:name w:val="Heading 1"/>
    <w:basedOn w:val="857"/>
    <w:next w:val="857"/>
    <w:link w:val="68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85">
    <w:name w:val="Heading 1 Char"/>
    <w:basedOn w:val="858"/>
    <w:link w:val="68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86">
    <w:name w:val="Heading 2"/>
    <w:basedOn w:val="857"/>
    <w:next w:val="857"/>
    <w:link w:val="68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87">
    <w:name w:val="Heading 2 Char"/>
    <w:basedOn w:val="858"/>
    <w:link w:val="686"/>
    <w:uiPriority w:val="9"/>
    <w:rPr>
      <w:rFonts w:ascii="Liberation Sans" w:hAnsi="Liberation Sans" w:eastAsia="Liberation Sans" w:cs="Liberation Sans"/>
      <w:sz w:val="34"/>
    </w:rPr>
  </w:style>
  <w:style w:type="paragraph" w:styleId="688">
    <w:name w:val="Heading 3"/>
    <w:basedOn w:val="857"/>
    <w:next w:val="857"/>
    <w:link w:val="68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89">
    <w:name w:val="Heading 3 Char"/>
    <w:basedOn w:val="858"/>
    <w:link w:val="68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90">
    <w:name w:val="Heading 4"/>
    <w:basedOn w:val="857"/>
    <w:next w:val="857"/>
    <w:link w:val="69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1">
    <w:name w:val="Heading 4 Char"/>
    <w:basedOn w:val="858"/>
    <w:link w:val="69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92">
    <w:name w:val="Heading 5"/>
    <w:basedOn w:val="857"/>
    <w:next w:val="857"/>
    <w:link w:val="69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3">
    <w:name w:val="Heading 5 Char"/>
    <w:basedOn w:val="858"/>
    <w:link w:val="69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94">
    <w:name w:val="Heading 6"/>
    <w:basedOn w:val="857"/>
    <w:next w:val="857"/>
    <w:link w:val="69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5">
    <w:name w:val="Heading 6 Char"/>
    <w:basedOn w:val="858"/>
    <w:link w:val="69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96">
    <w:name w:val="Heading 7"/>
    <w:basedOn w:val="857"/>
    <w:next w:val="857"/>
    <w:link w:val="69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7">
    <w:name w:val="Heading 7 Char"/>
    <w:basedOn w:val="858"/>
    <w:link w:val="69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98">
    <w:name w:val="Heading 8"/>
    <w:basedOn w:val="857"/>
    <w:next w:val="857"/>
    <w:link w:val="69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9">
    <w:name w:val="Heading 8 Char"/>
    <w:basedOn w:val="858"/>
    <w:link w:val="69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0">
    <w:name w:val="Heading 9"/>
    <w:basedOn w:val="857"/>
    <w:next w:val="857"/>
    <w:link w:val="70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1">
    <w:name w:val="Heading 9 Char"/>
    <w:basedOn w:val="858"/>
    <w:link w:val="70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02">
    <w:name w:val="No Spacing"/>
    <w:uiPriority w:val="1"/>
    <w:qFormat/>
    <w:pPr>
      <w:spacing w:before="0" w:after="0" w:line="240" w:lineRule="auto"/>
    </w:pPr>
  </w:style>
  <w:style w:type="paragraph" w:styleId="703">
    <w:name w:val="Title"/>
    <w:basedOn w:val="857"/>
    <w:next w:val="857"/>
    <w:link w:val="70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4">
    <w:name w:val="Title Char"/>
    <w:basedOn w:val="858"/>
    <w:link w:val="703"/>
    <w:uiPriority w:val="10"/>
    <w:rPr>
      <w:sz w:val="48"/>
      <w:szCs w:val="48"/>
    </w:rPr>
  </w:style>
  <w:style w:type="paragraph" w:styleId="705">
    <w:name w:val="Subtitle"/>
    <w:basedOn w:val="857"/>
    <w:next w:val="857"/>
    <w:link w:val="706"/>
    <w:uiPriority w:val="11"/>
    <w:qFormat/>
    <w:pPr>
      <w:spacing w:before="200" w:after="200"/>
    </w:pPr>
    <w:rPr>
      <w:sz w:val="24"/>
      <w:szCs w:val="24"/>
    </w:rPr>
  </w:style>
  <w:style w:type="character" w:styleId="706">
    <w:name w:val="Subtitle Char"/>
    <w:basedOn w:val="858"/>
    <w:link w:val="705"/>
    <w:uiPriority w:val="11"/>
    <w:rPr>
      <w:sz w:val="24"/>
      <w:szCs w:val="24"/>
    </w:rPr>
  </w:style>
  <w:style w:type="paragraph" w:styleId="707">
    <w:name w:val="Quote"/>
    <w:basedOn w:val="857"/>
    <w:next w:val="857"/>
    <w:link w:val="708"/>
    <w:uiPriority w:val="29"/>
    <w:qFormat/>
    <w:pPr>
      <w:ind w:left="720" w:right="720"/>
    </w:pPr>
    <w:rPr>
      <w:i/>
    </w:rPr>
  </w:style>
  <w:style w:type="character" w:styleId="708">
    <w:name w:val="Quote Char"/>
    <w:link w:val="707"/>
    <w:uiPriority w:val="29"/>
    <w:rPr>
      <w:i/>
    </w:rPr>
  </w:style>
  <w:style w:type="paragraph" w:styleId="709">
    <w:name w:val="Intense Quote"/>
    <w:basedOn w:val="857"/>
    <w:next w:val="857"/>
    <w:link w:val="71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0">
    <w:name w:val="Intense Quote Char"/>
    <w:link w:val="709"/>
    <w:uiPriority w:val="30"/>
    <w:rPr>
      <w:i/>
    </w:rPr>
  </w:style>
  <w:style w:type="character" w:styleId="711">
    <w:name w:val="Header Char"/>
    <w:basedOn w:val="858"/>
    <w:link w:val="874"/>
    <w:uiPriority w:val="99"/>
  </w:style>
  <w:style w:type="character" w:styleId="712">
    <w:name w:val="Footer Char"/>
    <w:basedOn w:val="858"/>
    <w:link w:val="876"/>
    <w:uiPriority w:val="99"/>
  </w:style>
  <w:style w:type="paragraph" w:styleId="713">
    <w:name w:val="Caption"/>
    <w:basedOn w:val="857"/>
    <w:next w:val="857"/>
    <w:link w:val="71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4">
    <w:name w:val="Caption Char"/>
    <w:basedOn w:val="858"/>
    <w:link w:val="713"/>
    <w:uiPriority w:val="35"/>
    <w:rPr>
      <w:b/>
      <w:bCs/>
      <w:color w:val="4f81bd" w:themeColor="accent1"/>
      <w:sz w:val="18"/>
      <w:szCs w:val="18"/>
    </w:rPr>
  </w:style>
  <w:style w:type="table" w:styleId="715">
    <w:name w:val="Table Grid Light"/>
    <w:basedOn w:val="8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basedOn w:val="8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7">
    <w:name w:val="Plain Table 2"/>
    <w:basedOn w:val="85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8">
    <w:name w:val="Plain Table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57">
    <w:name w:val="Grid Table 6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58">
    <w:name w:val="Grid Table 6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59">
    <w:name w:val="Grid Table 6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0">
    <w:name w:val="Grid Table 6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61">
    <w:name w:val="Grid Table 6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2">
    <w:name w:val="Grid Table 6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3">
    <w:name w:val="Grid Table 7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9">
    <w:name w:val="List Table 5 Dark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0">
    <w:name w:val="List Table 5 Dark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1">
    <w:name w:val="List Table 5 Dark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2">
    <w:name w:val="List Table 5 Dark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3">
    <w:name w:val="List Table 5 Dark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4">
    <w:name w:val="List Table 5 Dark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5">
    <w:name w:val="List Table 6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13">
    <w:name w:val="List Table 7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14">
    <w:name w:val="List Table 7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15">
    <w:name w:val="List Table 7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16">
    <w:name w:val="List Table 7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17">
    <w:name w:val="List Table 7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18">
    <w:name w:val="List Table 7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19">
    <w:name w:val="Lined - Accent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Lined - Accent 2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Lined - Accent 3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Lined - Accent 4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Lined - Accent 5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Lined - Accent 6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 &amp; Lined - Accent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Bordered &amp; Lined - Accent 2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Bordered &amp; Lined - Accent 3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Bordered &amp; Lined - Accent 4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Bordered &amp; Lined - Accent 5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Bordered &amp; Lined - Accent 6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0">
    <w:name w:val="footnote text"/>
    <w:basedOn w:val="857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>
    <w:name w:val="Footnote Text Char"/>
    <w:link w:val="840"/>
    <w:uiPriority w:val="99"/>
    <w:rPr>
      <w:sz w:val="18"/>
    </w:rPr>
  </w:style>
  <w:style w:type="character" w:styleId="842">
    <w:name w:val="footnote reference"/>
    <w:basedOn w:val="858"/>
    <w:uiPriority w:val="99"/>
    <w:unhideWhenUsed/>
    <w:rPr>
      <w:vertAlign w:val="superscript"/>
    </w:rPr>
  </w:style>
  <w:style w:type="paragraph" w:styleId="843">
    <w:name w:val="endnote text"/>
    <w:basedOn w:val="857"/>
    <w:link w:val="844"/>
    <w:uiPriority w:val="99"/>
    <w:semiHidden/>
    <w:unhideWhenUsed/>
    <w:pPr>
      <w:spacing w:after="0" w:line="240" w:lineRule="auto"/>
    </w:pPr>
    <w:rPr>
      <w:sz w:val="20"/>
    </w:rPr>
  </w:style>
  <w:style w:type="character" w:styleId="844">
    <w:name w:val="Endnote Text Char"/>
    <w:link w:val="843"/>
    <w:uiPriority w:val="99"/>
    <w:rPr>
      <w:sz w:val="20"/>
    </w:rPr>
  </w:style>
  <w:style w:type="character" w:styleId="845">
    <w:name w:val="endnote reference"/>
    <w:basedOn w:val="858"/>
    <w:uiPriority w:val="99"/>
    <w:semiHidden/>
    <w:unhideWhenUsed/>
    <w:rPr>
      <w:vertAlign w:val="superscript"/>
    </w:rPr>
  </w:style>
  <w:style w:type="paragraph" w:styleId="846">
    <w:name w:val="toc 1"/>
    <w:basedOn w:val="857"/>
    <w:next w:val="857"/>
    <w:uiPriority w:val="39"/>
    <w:unhideWhenUsed/>
    <w:pPr>
      <w:ind w:left="0" w:right="0" w:firstLine="0"/>
      <w:spacing w:after="57"/>
    </w:pPr>
  </w:style>
  <w:style w:type="paragraph" w:styleId="847">
    <w:name w:val="toc 2"/>
    <w:basedOn w:val="857"/>
    <w:next w:val="857"/>
    <w:uiPriority w:val="39"/>
    <w:unhideWhenUsed/>
    <w:pPr>
      <w:ind w:left="283" w:right="0" w:firstLine="0"/>
      <w:spacing w:after="57"/>
    </w:pPr>
  </w:style>
  <w:style w:type="paragraph" w:styleId="848">
    <w:name w:val="toc 3"/>
    <w:basedOn w:val="857"/>
    <w:next w:val="857"/>
    <w:uiPriority w:val="39"/>
    <w:unhideWhenUsed/>
    <w:pPr>
      <w:ind w:left="567" w:right="0" w:firstLine="0"/>
      <w:spacing w:after="57"/>
    </w:pPr>
  </w:style>
  <w:style w:type="paragraph" w:styleId="849">
    <w:name w:val="toc 4"/>
    <w:basedOn w:val="857"/>
    <w:next w:val="857"/>
    <w:uiPriority w:val="39"/>
    <w:unhideWhenUsed/>
    <w:pPr>
      <w:ind w:left="850" w:right="0" w:firstLine="0"/>
      <w:spacing w:after="57"/>
    </w:pPr>
  </w:style>
  <w:style w:type="paragraph" w:styleId="850">
    <w:name w:val="toc 5"/>
    <w:basedOn w:val="857"/>
    <w:next w:val="857"/>
    <w:uiPriority w:val="39"/>
    <w:unhideWhenUsed/>
    <w:pPr>
      <w:ind w:left="1134" w:right="0" w:firstLine="0"/>
      <w:spacing w:after="57"/>
    </w:pPr>
  </w:style>
  <w:style w:type="paragraph" w:styleId="851">
    <w:name w:val="toc 6"/>
    <w:basedOn w:val="857"/>
    <w:next w:val="857"/>
    <w:uiPriority w:val="39"/>
    <w:unhideWhenUsed/>
    <w:pPr>
      <w:ind w:left="1417" w:right="0" w:firstLine="0"/>
      <w:spacing w:after="57"/>
    </w:pPr>
  </w:style>
  <w:style w:type="paragraph" w:styleId="852">
    <w:name w:val="toc 7"/>
    <w:basedOn w:val="857"/>
    <w:next w:val="857"/>
    <w:uiPriority w:val="39"/>
    <w:unhideWhenUsed/>
    <w:pPr>
      <w:ind w:left="1701" w:right="0" w:firstLine="0"/>
      <w:spacing w:after="57"/>
    </w:pPr>
  </w:style>
  <w:style w:type="paragraph" w:styleId="853">
    <w:name w:val="toc 8"/>
    <w:basedOn w:val="857"/>
    <w:next w:val="857"/>
    <w:uiPriority w:val="39"/>
    <w:unhideWhenUsed/>
    <w:pPr>
      <w:ind w:left="1984" w:right="0" w:firstLine="0"/>
      <w:spacing w:after="57"/>
    </w:pPr>
  </w:style>
  <w:style w:type="paragraph" w:styleId="854">
    <w:name w:val="toc 9"/>
    <w:basedOn w:val="857"/>
    <w:next w:val="857"/>
    <w:uiPriority w:val="39"/>
    <w:unhideWhenUsed/>
    <w:pPr>
      <w:ind w:left="2268" w:right="0" w:firstLine="0"/>
      <w:spacing w:after="57"/>
    </w:pPr>
  </w:style>
  <w:style w:type="paragraph" w:styleId="855">
    <w:name w:val="TOC Heading"/>
    <w:uiPriority w:val="39"/>
    <w:unhideWhenUsed/>
  </w:style>
  <w:style w:type="paragraph" w:styleId="856">
    <w:name w:val="table of figures"/>
    <w:basedOn w:val="857"/>
    <w:next w:val="857"/>
    <w:uiPriority w:val="99"/>
    <w:unhideWhenUsed/>
    <w:pPr>
      <w:spacing w:after="0" w:afterAutospacing="0"/>
    </w:pPr>
  </w:style>
  <w:style w:type="paragraph" w:styleId="857" w:default="1">
    <w:name w:val="Normal"/>
    <w:qFormat/>
    <w:rPr>
      <w:rFonts w:ascii="Calibri" w:hAnsi="Calibri" w:eastAsia="Calibri" w:cs="Times New Roman"/>
    </w:rPr>
  </w:style>
  <w:style w:type="character" w:styleId="858" w:default="1">
    <w:name w:val="Default Paragraph Font"/>
    <w:uiPriority w:val="1"/>
    <w:semiHidden/>
    <w:unhideWhenUsed/>
  </w:style>
  <w:style w:type="table" w:styleId="859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0" w:default="1">
    <w:name w:val="No List"/>
    <w:uiPriority w:val="99"/>
    <w:semiHidden/>
    <w:unhideWhenUsed/>
  </w:style>
  <w:style w:type="paragraph" w:styleId="861">
    <w:name w:val="Body Text"/>
    <w:basedOn w:val="857"/>
    <w:link w:val="862"/>
    <w:uiPriority w:val="99"/>
    <w:pPr>
      <w:spacing w:after="0" w:line="240" w:lineRule="auto"/>
      <w:widowControl w:val="off"/>
    </w:pPr>
    <w:rPr>
      <w:rFonts w:ascii="Arial" w:hAnsi="Arial" w:eastAsia="Times New Roman" w:cs="Arial"/>
      <w:sz w:val="28"/>
      <w:szCs w:val="28"/>
      <w:lang w:eastAsia="ru-RU"/>
    </w:rPr>
  </w:style>
  <w:style w:type="character" w:styleId="862" w:customStyle="1">
    <w:name w:val="Основной текст Знак"/>
    <w:basedOn w:val="858"/>
    <w:link w:val="861"/>
    <w:uiPriority w:val="99"/>
    <w:rPr>
      <w:rFonts w:ascii="Arial" w:hAnsi="Arial" w:eastAsia="Times New Roman" w:cs="Arial"/>
      <w:sz w:val="28"/>
      <w:szCs w:val="28"/>
      <w:lang w:eastAsia="ru-RU"/>
    </w:rPr>
  </w:style>
  <w:style w:type="paragraph" w:styleId="863" w:customStyle="1">
    <w:name w:val="Style2"/>
    <w:basedOn w:val="857"/>
    <w:uiPriority w:val="99"/>
    <w:pPr>
      <w:ind w:firstLine="2534"/>
      <w:spacing w:after="0" w:line="324" w:lineRule="exact"/>
      <w:widowControl w:val="off"/>
    </w:pPr>
    <w:rPr>
      <w:rFonts w:ascii="Arial" w:hAnsi="Arial" w:eastAsia="Times New Roman" w:cs="Arial"/>
      <w:sz w:val="24"/>
      <w:szCs w:val="24"/>
      <w:lang w:eastAsia="ru-RU"/>
    </w:rPr>
  </w:style>
  <w:style w:type="paragraph" w:styleId="864" w:customStyle="1">
    <w:name w:val="Style3"/>
    <w:basedOn w:val="857"/>
    <w:uiPriority w:val="99"/>
    <w:pPr>
      <w:ind w:firstLine="850"/>
      <w:jc w:val="both"/>
      <w:spacing w:after="0" w:line="317" w:lineRule="exact"/>
      <w:widowControl w:val="off"/>
    </w:pPr>
    <w:rPr>
      <w:rFonts w:ascii="Arial" w:hAnsi="Arial" w:eastAsia="Times New Roman" w:cs="Arial"/>
      <w:sz w:val="24"/>
      <w:szCs w:val="24"/>
      <w:lang w:eastAsia="ru-RU"/>
    </w:rPr>
  </w:style>
  <w:style w:type="character" w:styleId="865" w:customStyle="1">
    <w:name w:val="Font Style25"/>
    <w:basedOn w:val="858"/>
    <w:uiPriority w:val="99"/>
    <w:rPr>
      <w:rFonts w:ascii="Arial" w:hAnsi="Arial" w:cs="Arial"/>
      <w:sz w:val="22"/>
      <w:szCs w:val="22"/>
    </w:rPr>
  </w:style>
  <w:style w:type="paragraph" w:styleId="866" w:customStyle="1">
    <w:name w:val="Style11"/>
    <w:basedOn w:val="857"/>
    <w:uiPriority w:val="99"/>
    <w:pPr>
      <w:ind w:firstLine="715"/>
      <w:jc w:val="both"/>
      <w:spacing w:after="0" w:line="274" w:lineRule="exact"/>
      <w:widowControl w:val="off"/>
    </w:pPr>
    <w:rPr>
      <w:rFonts w:ascii="Arial" w:hAnsi="Arial" w:eastAsia="Times New Roman" w:cs="Arial"/>
      <w:sz w:val="24"/>
      <w:szCs w:val="24"/>
      <w:lang w:eastAsia="ru-RU"/>
    </w:rPr>
  </w:style>
  <w:style w:type="character" w:styleId="867" w:customStyle="1">
    <w:name w:val="Font Style26"/>
    <w:basedOn w:val="858"/>
    <w:uiPriority w:val="99"/>
    <w:rPr>
      <w:rFonts w:ascii="Arial" w:hAnsi="Arial" w:cs="Arial"/>
      <w:b/>
      <w:bCs/>
      <w:spacing w:val="90"/>
      <w:sz w:val="26"/>
      <w:szCs w:val="26"/>
    </w:rPr>
  </w:style>
  <w:style w:type="paragraph" w:styleId="868">
    <w:name w:val="Balloon Text"/>
    <w:basedOn w:val="857"/>
    <w:link w:val="86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9" w:customStyle="1">
    <w:name w:val="Текст выноски Знак"/>
    <w:basedOn w:val="858"/>
    <w:link w:val="868"/>
    <w:uiPriority w:val="99"/>
    <w:semiHidden/>
    <w:rPr>
      <w:rFonts w:ascii="Tahoma" w:hAnsi="Tahoma" w:eastAsia="Calibri" w:cs="Tahoma"/>
      <w:sz w:val="16"/>
      <w:szCs w:val="16"/>
    </w:rPr>
  </w:style>
  <w:style w:type="table" w:styleId="870">
    <w:name w:val="Table Grid"/>
    <w:basedOn w:val="859"/>
    <w:uiPriority w:val="59"/>
    <w:pPr>
      <w:spacing w:after="0" w:line="240" w:lineRule="auto"/>
    </w:pPr>
    <w:rPr>
      <w:rFonts w:ascii="Calibri" w:hAnsi="Calibri" w:eastAsia="Calibri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71" w:customStyle="1">
    <w:name w:val="Font Style24"/>
    <w:basedOn w:val="858"/>
    <w:uiPriority w:val="99"/>
    <w:rPr>
      <w:rFonts w:ascii="Arial" w:hAnsi="Arial" w:cs="Arial"/>
      <w:b/>
      <w:bCs/>
      <w:sz w:val="22"/>
      <w:szCs w:val="22"/>
    </w:rPr>
  </w:style>
  <w:style w:type="paragraph" w:styleId="872">
    <w:name w:val="List Paragraph"/>
    <w:basedOn w:val="857"/>
    <w:uiPriority w:val="34"/>
    <w:qFormat/>
    <w:pPr>
      <w:contextualSpacing/>
      <w:ind w:left="720"/>
    </w:pPr>
  </w:style>
  <w:style w:type="paragraph" w:styleId="873" w:customStyle="1">
    <w:name w:val="Style7"/>
    <w:basedOn w:val="857"/>
    <w:uiPriority w:val="99"/>
    <w:pPr>
      <w:jc w:val="both"/>
      <w:spacing w:after="0" w:line="240" w:lineRule="auto"/>
      <w:widowControl w:val="off"/>
    </w:pPr>
    <w:rPr>
      <w:rFonts w:ascii="Arial" w:hAnsi="Arial" w:eastAsia="Times New Roman" w:cs="Arial"/>
      <w:sz w:val="24"/>
      <w:szCs w:val="24"/>
      <w:lang w:eastAsia="ru-RU"/>
    </w:rPr>
  </w:style>
  <w:style w:type="paragraph" w:styleId="874">
    <w:name w:val="Header"/>
    <w:basedOn w:val="857"/>
    <w:link w:val="875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5" w:customStyle="1">
    <w:name w:val="Верхний колонтитул Знак"/>
    <w:basedOn w:val="858"/>
    <w:link w:val="874"/>
    <w:uiPriority w:val="99"/>
    <w:semiHidden/>
    <w:rPr>
      <w:rFonts w:ascii="Calibri" w:hAnsi="Calibri" w:eastAsia="Calibri" w:cs="Times New Roman"/>
    </w:rPr>
  </w:style>
  <w:style w:type="paragraph" w:styleId="876">
    <w:name w:val="Footer"/>
    <w:basedOn w:val="857"/>
    <w:link w:val="877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7" w:customStyle="1">
    <w:name w:val="Нижний колонтитул Знак"/>
    <w:basedOn w:val="858"/>
    <w:link w:val="876"/>
    <w:uiPriority w:val="99"/>
    <w:semiHidden/>
    <w:rPr>
      <w:rFonts w:ascii="Calibri" w:hAnsi="Calibri" w:eastAsia="Calibri" w:cs="Times New Roman"/>
    </w:rPr>
  </w:style>
  <w:style w:type="character" w:styleId="878">
    <w:name w:val="Placeholder Text"/>
    <w:basedOn w:val="858"/>
    <w:uiPriority w:val="99"/>
    <w:semiHidden/>
    <w:rPr>
      <w:color w:val="808080"/>
    </w:rPr>
  </w:style>
  <w:style w:type="paragraph" w:styleId="879">
    <w:name w:val="Body Text 2"/>
    <w:basedOn w:val="857"/>
    <w:link w:val="880"/>
    <w:pPr>
      <w:jc w:val="both"/>
      <w:spacing w:after="0" w:line="240" w:lineRule="auto"/>
    </w:pPr>
    <w:rPr>
      <w:rFonts w:ascii="Times New Roman" w:hAnsi="Times New Roman" w:eastAsia="Times New Roman"/>
      <w:sz w:val="24"/>
      <w:szCs w:val="20"/>
      <w:lang w:eastAsia="ru-RU"/>
    </w:rPr>
  </w:style>
  <w:style w:type="character" w:styleId="880" w:customStyle="1">
    <w:name w:val="Основной текст 2 Знак"/>
    <w:basedOn w:val="858"/>
    <w:link w:val="879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81" w:customStyle="1">
    <w:name w:val="ConsPlusTitle"/>
    <w:uiPriority w:val="99"/>
    <w:pPr>
      <w:spacing w:after="0" w:line="240" w:lineRule="auto"/>
      <w:widowControl w:val="off"/>
    </w:pPr>
    <w:rPr>
      <w:rFonts w:ascii="Calibri" w:hAnsi="Calibri" w:eastAsia="Times New Roman" w:cs="Calibri"/>
      <w:b/>
      <w:bCs/>
      <w:lang w:eastAsia="ru-RU"/>
    </w:rPr>
  </w:style>
  <w:style w:type="paragraph" w:styleId="882" w:customStyle="1">
    <w:name w:val="ConsPlusNonformat"/>
    <w:uiPriority w:val="99"/>
    <w:pPr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83" w:customStyle="1">
    <w:name w:val="ConsPlusCell"/>
    <w:uiPriority w:val="99"/>
    <w:pPr>
      <w:spacing w:after="0" w:line="240" w:lineRule="auto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884">
    <w:name w:val="Hyperlink"/>
    <w:basedOn w:val="858"/>
    <w:uiPriority w:val="99"/>
    <w:semiHidden/>
    <w:unhideWhenUsed/>
    <w:rPr>
      <w:color w:val="0000ff"/>
      <w:u w:val="single"/>
    </w:rPr>
  </w:style>
  <w:style w:type="paragraph" w:styleId="885" w:customStyle="1">
    <w:name w:val="ConsPlusNormal"/>
    <w:pPr>
      <w:spacing w:after="0" w:line="240" w:lineRule="auto"/>
      <w:widowControl w:val="off"/>
    </w:pPr>
    <w:rPr>
      <w:rFonts w:ascii="Arial" w:hAnsi="Arial" w:cs="Arial" w:eastAsiaTheme="minorEastAsia"/>
      <w:sz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417F7-6027-4607-ABE4-EC315DD11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HP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Спицына</dc:creator>
  <cp:lastModifiedBy>khlistun</cp:lastModifiedBy>
  <cp:revision>21</cp:revision>
  <dcterms:created xsi:type="dcterms:W3CDTF">2020-05-27T09:37:00Z</dcterms:created>
  <dcterms:modified xsi:type="dcterms:W3CDTF">2026-10-01T09:56:38Z</dcterms:modified>
</cp:coreProperties>
</file>